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160"/>
      </w:pPr>
      <w:r>
        <w:rPr>
          <w:rFonts w:ascii="Malgun Gothic" w:hAnsi="Malgun Gothic" w:eastAsia="Malgun Gothic"/>
          <w:b/>
          <w:color w:val="17365D"/>
          <w:sz w:val="46"/>
        </w:rPr>
        <w:t>유럽·일본 Capital Goods 5D 비교</w:t>
      </w:r>
    </w:p>
    <w:p>
      <w:pPr>
        <w:keepNext w:val="0"/>
        <w:spacing w:after="140" w:line="269" w:lineRule="auto"/>
      </w:pPr>
      <w:r>
        <w:rPr>
          <w:rFonts w:ascii="Malgun Gothic" w:hAnsi="Malgun Gothic" w:eastAsia="Malgun Gothic"/>
          <w:b/>
          <w:color w:val="2F75B5"/>
          <w:sz w:val="29"/>
        </w:rPr>
        <w:t>AI 약세는 있었나, 산업생산 부진이 원인이었나</w:t>
      </w:r>
    </w:p>
    <w:p>
      <w:pPr>
        <w:keepNext w:val="0"/>
        <w:spacing w:after="200" w:line="269" w:lineRule="auto"/>
      </w:pPr>
      <w:r>
        <w:rPr>
          <w:rFonts w:ascii="Malgun Gothic" w:hAnsi="Malgun Gothic" w:eastAsia="Malgun Gothic"/>
          <w:b w:val="0"/>
          <w:color w:val="666666"/>
          <w:sz w:val="17"/>
        </w:rPr>
        <w:t>분석 구간 2026-08-28~2026-09-04  |  작성 2026-09-08</w:t>
      </w:r>
    </w:p>
    <w:tbl>
      <w:tblPr>
        <w:tblW w:type="auto" w:w="0"/>
        <w:jc w:val="center"/>
        <w:tblLayout w:type="fixed"/>
        <w:tblLook w:firstColumn="1" w:firstRow="1" w:lastColumn="0" w:lastRow="0" w:noHBand="0" w:noVBand="1" w:val="04A0"/>
      </w:tblPr>
      <w:tblGrid>
        <w:gridCol w:w="10710"/>
      </w:tblGrid>
      <w:tr>
        <w:tc>
          <w:tcPr>
            <w:tcW w:type="dxa" w:w="10261"/>
            <w:shd w:fill="EAF2F8"/>
            <w:vAlign w:val="center"/>
          </w:tcPr>
          <w:p>
            <w:pPr>
              <w:spacing w:before="100" w:after="100"/>
              <w:ind w:left="68"/>
            </w:pPr>
            <w:r>
              <w:rPr>
                <w:rFonts w:ascii="Malgun Gothic" w:hAnsi="Malgun Gothic" w:eastAsia="Malgun Gothic"/>
                <w:b/>
                <w:color w:val="2F75B5"/>
                <w:sz w:val="19"/>
              </w:rPr>
              <w:t xml:space="preserve">한 줄 결론  </w:t>
            </w:r>
            <w:r>
              <w:rPr>
                <w:rFonts w:ascii="Malgun Gothic" w:hAnsi="Malgun Gothic" w:eastAsia="Malgun Gothic"/>
                <w:b w:val="0"/>
                <w:color w:val="111111"/>
                <w:sz w:val="19"/>
              </w:rPr>
              <w:t>두 시장 모두 AI 관련 Capital Goods가 기타 자본재보다 약했다. 그러나 산업생산 악화가 직접 촉매였다는 증거는 약하다. 유럽의 부진한 7월 산업생산은 가격 구간 뒤에 발표됐고, 일본의 7월 산업생산은 오히려 예상보다 좋았다. 공통된 1차 설명은 유가·물가·장기금리 상승에 따른 장기 성장주의 할인율 충격이다.</w:t>
            </w:r>
          </w:p>
        </w:tc>
      </w:tr>
    </w:tbl>
    <w:p>
      <w:pPr>
        <w:spacing w:after="0"/>
      </w:pP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유럽 AI·데이터센터 광의 15개는 -2.39%, 일본 AI 광의 63개는 -2.05%였다. 각 시장의 기타 Capital Goods는 각각 -1.18%, -0.88%였다.</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일본에서는 방산 7개가 -4.89%로 종목당 낙폭은 더 컸지만, gross downside 기여는 AI 광의 61.6%, 방산 23.9%였다.</w:t>
      </w:r>
    </w:p>
    <w:p>
      <w:pPr>
        <w:spacing w:after="80" w:line="269" w:lineRule="auto"/>
      </w:pPr>
      <w:r>
        <w:rPr>
          <w:rFonts w:ascii="Malgun Gothic" w:hAnsi="Malgun Gothic" w:eastAsia="Malgun Gothic"/>
          <w:b/>
          <w:color w:val="9C6500"/>
          <w:sz w:val="18"/>
        </w:rPr>
        <w:t xml:space="preserve">[INFERENCE] </w:t>
      </w:r>
      <w:r>
        <w:rPr>
          <w:rFonts w:ascii="Malgun Gothic" w:hAnsi="Malgun Gothic" w:eastAsia="Malgun Gothic"/>
          <w:b w:val="0"/>
          <w:color w:val="111111"/>
          <w:sz w:val="18"/>
        </w:rPr>
        <w:t>‘방산만 나빴다’도, ‘산업생산이 나빠 AI 장비주가 무너졌다’도 불완전하다. 약세는 방산과 AI 장비군에 함께 나타났지만 촉매는 실물지표보다 금리·밸류에이션에 더 가깝다.</w:t>
      </w:r>
    </w:p>
    <w:p>
      <w:pPr>
        <w:spacing w:before="60" w:after="40"/>
        <w:jc w:val="center"/>
      </w:pPr>
      <w:r>
        <w:drawing>
          <wp:inline xmlns:a="http://schemas.openxmlformats.org/drawingml/2006/main" xmlns:pic="http://schemas.openxmlformats.org/drawingml/2006/picture">
            <wp:extent cx="6446520" cy="3269799"/>
            <wp:docPr id="1" name="Picture 1"/>
            <wp:cNvGraphicFramePr>
              <a:graphicFrameLocks noChangeAspect="1"/>
            </wp:cNvGraphicFramePr>
            <a:graphic>
              <a:graphicData uri="http://schemas.openxmlformats.org/drawingml/2006/picture">
                <pic:pic>
                  <pic:nvPicPr>
                    <pic:cNvPr id="0" name="01_cross_market_group_returns.png"/>
                    <pic:cNvPicPr/>
                  </pic:nvPicPr>
                  <pic:blipFill>
                    <a:blip r:embed="rId11"/>
                    <a:stretch>
                      <a:fillRect/>
                    </a:stretch>
                  </pic:blipFill>
                  <pic:spPr>
                    <a:xfrm>
                      <a:off x="0" y="0"/>
                      <a:ext cx="6446520" cy="3269799"/>
                    </a:xfrm>
                    <a:prstGeom prst="rect"/>
                  </pic:spPr>
                </pic:pic>
              </a:graphicData>
            </a:graphic>
          </wp:inline>
        </w:drawing>
      </w:r>
    </w:p>
    <w:p>
      <w:pPr>
        <w:spacing w:after="100"/>
        <w:jc w:val="center"/>
      </w:pPr>
      <w:r>
        <w:rPr>
          <w:rFonts w:ascii="Malgun Gothic" w:hAnsi="Malgun Gothic" w:eastAsia="Malgun Gothic"/>
          <w:b w:val="0"/>
          <w:color w:val="666666"/>
          <w:sz w:val="14"/>
        </w:rPr>
        <w:t>그림 1. BQL·검증된 공개 종가 기준 동일가중 수익률. 두 시장 모두 현지통화 가격수익률이며 배당·환율은 제외.</w:t>
      </w:r>
    </w:p>
    <w:p>
      <w:r>
        <w:br w:type="page"/>
      </w:r>
    </w:p>
    <w:p>
      <w:pPr>
        <w:pStyle w:val="Heading1"/>
        <w:keepNext/>
      </w:pPr>
      <w:r>
        <w:t>Executive Summary</w:t>
      </w:r>
    </w:p>
    <w:tbl>
      <w:tblPr>
        <w:tblStyle w:val="TableGrid"/>
        <w:tblW w:type="auto" w:w="0"/>
        <w:jc w:val="center"/>
        <w:tblLayout w:type="fixed"/>
        <w:tblLook w:firstColumn="1" w:firstRow="1" w:lastColumn="0" w:lastRow="0" w:noHBand="0" w:noVBand="1" w:val="04A0"/>
      </w:tblPr>
      <w:tblGrid>
        <w:gridCol w:w="1530"/>
        <w:gridCol w:w="1530"/>
        <w:gridCol w:w="1530"/>
        <w:gridCol w:w="1530"/>
        <w:gridCol w:w="1530"/>
        <w:gridCol w:w="1530"/>
        <w:gridCol w:w="1530"/>
      </w:tblGrid>
      <w:tr>
        <w:trPr>
          <w:tblHeader w:val="true"/>
          <w:cantSplit/>
        </w:trPr>
        <w:tc>
          <w:tcPr>
            <w:tcW w:type="dxa" w:w="2438"/>
            <w:shd w:fill="17365D"/>
            <w:vAlign w:val="center"/>
          </w:tcPr>
          <w:p>
            <w:pPr>
              <w:jc w:val="center"/>
            </w:pPr>
            <w:r>
              <w:rPr>
                <w:rFonts w:ascii="Malgun Gothic" w:hAnsi="Malgun Gothic" w:eastAsia="Malgun Gothic"/>
                <w:b/>
                <w:color w:val="FFFFFF"/>
                <w:sz w:val="15"/>
              </w:rPr>
              <w:t>묶음</w:t>
            </w:r>
          </w:p>
        </w:tc>
        <w:tc>
          <w:tcPr>
            <w:tcW w:type="dxa" w:w="737"/>
            <w:shd w:fill="17365D"/>
            <w:vAlign w:val="center"/>
          </w:tcPr>
          <w:p>
            <w:pPr>
              <w:jc w:val="center"/>
            </w:pPr>
            <w:r>
              <w:rPr>
                <w:rFonts w:ascii="Malgun Gothic" w:hAnsi="Malgun Gothic" w:eastAsia="Malgun Gothic"/>
                <w:b/>
                <w:color w:val="FFFFFF"/>
                <w:sz w:val="15"/>
              </w:rPr>
              <w:t>EU N</w:t>
            </w:r>
          </w:p>
        </w:tc>
        <w:tc>
          <w:tcPr>
            <w:tcW w:type="dxa" w:w="1134"/>
            <w:shd w:fill="17365D"/>
            <w:vAlign w:val="center"/>
          </w:tcPr>
          <w:p>
            <w:pPr>
              <w:jc w:val="center"/>
            </w:pPr>
            <w:r>
              <w:rPr>
                <w:rFonts w:ascii="Malgun Gothic" w:hAnsi="Malgun Gothic" w:eastAsia="Malgun Gothic"/>
                <w:b/>
                <w:color w:val="FFFFFF"/>
                <w:sz w:val="15"/>
              </w:rPr>
              <w:t>EU EW</w:t>
            </w:r>
          </w:p>
        </w:tc>
        <w:tc>
          <w:tcPr>
            <w:tcW w:type="dxa" w:w="1134"/>
            <w:shd w:fill="17365D"/>
            <w:vAlign w:val="center"/>
          </w:tcPr>
          <w:p>
            <w:pPr>
              <w:jc w:val="center"/>
            </w:pPr>
            <w:r>
              <w:rPr>
                <w:rFonts w:ascii="Malgun Gothic" w:hAnsi="Malgun Gothic" w:eastAsia="Malgun Gothic"/>
                <w:b/>
                <w:color w:val="FFFFFF"/>
                <w:sz w:val="15"/>
              </w:rPr>
              <w:t>EU CW*</w:t>
            </w:r>
          </w:p>
        </w:tc>
        <w:tc>
          <w:tcPr>
            <w:tcW w:type="dxa" w:w="737"/>
            <w:shd w:fill="17365D"/>
            <w:vAlign w:val="center"/>
          </w:tcPr>
          <w:p>
            <w:pPr>
              <w:jc w:val="center"/>
            </w:pPr>
            <w:r>
              <w:rPr>
                <w:rFonts w:ascii="Malgun Gothic" w:hAnsi="Malgun Gothic" w:eastAsia="Malgun Gothic"/>
                <w:b/>
                <w:color w:val="FFFFFF"/>
                <w:sz w:val="15"/>
              </w:rPr>
              <w:t>JP N</w:t>
            </w:r>
          </w:p>
        </w:tc>
        <w:tc>
          <w:tcPr>
            <w:tcW w:type="dxa" w:w="1134"/>
            <w:shd w:fill="17365D"/>
            <w:vAlign w:val="center"/>
          </w:tcPr>
          <w:p>
            <w:pPr>
              <w:jc w:val="center"/>
            </w:pPr>
            <w:r>
              <w:rPr>
                <w:rFonts w:ascii="Malgun Gothic" w:hAnsi="Malgun Gothic" w:eastAsia="Malgun Gothic"/>
                <w:b/>
                <w:color w:val="FFFFFF"/>
                <w:sz w:val="15"/>
              </w:rPr>
              <w:t>JP EW</w:t>
            </w:r>
          </w:p>
        </w:tc>
        <w:tc>
          <w:tcPr>
            <w:tcW w:type="dxa" w:w="1134"/>
            <w:shd w:fill="17365D"/>
            <w:vAlign w:val="center"/>
          </w:tcPr>
          <w:p>
            <w:pPr>
              <w:jc w:val="center"/>
            </w:pPr>
            <w:r>
              <w:rPr>
                <w:rFonts w:ascii="Malgun Gothic" w:hAnsi="Malgun Gothic" w:eastAsia="Malgun Gothic"/>
                <w:b/>
                <w:color w:val="FFFFFF"/>
                <w:sz w:val="15"/>
              </w:rPr>
              <w:t>JP CW*</w:t>
            </w:r>
          </w:p>
        </w:tc>
      </w:tr>
      <w:tr>
        <w:trPr>
          <w:cantSplit/>
        </w:trPr>
        <w:tc>
          <w:tcPr>
            <w:tcW w:type="dxa" w:w="2438"/>
            <w:vAlign w:val="center"/>
          </w:tcPr>
          <w:p>
            <w:pPr>
              <w:jc w:val="left"/>
            </w:pPr>
            <w:r>
              <w:rPr>
                <w:rFonts w:ascii="Malgun Gothic" w:hAnsi="Malgun Gothic" w:eastAsia="Malgun Gothic"/>
                <w:b/>
                <w:color w:val="111111"/>
                <w:sz w:val="15"/>
              </w:rPr>
              <w:t>Capital Goods 전체</w:t>
            </w:r>
          </w:p>
        </w:tc>
        <w:tc>
          <w:tcPr>
            <w:tcW w:type="dxa" w:w="737"/>
            <w:vAlign w:val="center"/>
          </w:tcPr>
          <w:p>
            <w:pPr>
              <w:jc w:val="right"/>
            </w:pPr>
            <w:r>
              <w:rPr>
                <w:rFonts w:ascii="Malgun Gothic" w:hAnsi="Malgun Gothic" w:eastAsia="Malgun Gothic"/>
                <w:b w:val="0"/>
                <w:color w:val="111111"/>
                <w:sz w:val="15"/>
              </w:rPr>
              <w:t>100</w:t>
            </w:r>
          </w:p>
        </w:tc>
        <w:tc>
          <w:tcPr>
            <w:tcW w:type="dxa" w:w="1134"/>
            <w:vAlign w:val="center"/>
          </w:tcPr>
          <w:p>
            <w:pPr>
              <w:jc w:val="right"/>
            </w:pPr>
            <w:r>
              <w:rPr>
                <w:rFonts w:ascii="Malgun Gothic" w:hAnsi="Malgun Gothic" w:eastAsia="Malgun Gothic"/>
                <w:b w:val="0"/>
                <w:color w:val="C00000"/>
                <w:sz w:val="15"/>
              </w:rPr>
              <w:t>-1.99%</w:t>
            </w:r>
          </w:p>
        </w:tc>
        <w:tc>
          <w:tcPr>
            <w:tcW w:type="dxa" w:w="1134"/>
            <w:vAlign w:val="center"/>
          </w:tcPr>
          <w:p>
            <w:pPr>
              <w:jc w:val="right"/>
            </w:pPr>
            <w:r>
              <w:rPr>
                <w:rFonts w:ascii="Malgun Gothic" w:hAnsi="Malgun Gothic" w:eastAsia="Malgun Gothic"/>
                <w:b w:val="0"/>
                <w:color w:val="C00000"/>
                <w:sz w:val="15"/>
              </w:rPr>
              <w:t>-2.84%</w:t>
            </w:r>
          </w:p>
        </w:tc>
        <w:tc>
          <w:tcPr>
            <w:tcW w:type="dxa" w:w="737"/>
            <w:vAlign w:val="center"/>
          </w:tcPr>
          <w:p>
            <w:pPr>
              <w:jc w:val="right"/>
            </w:pPr>
            <w:r>
              <w:rPr>
                <w:rFonts w:ascii="Malgun Gothic" w:hAnsi="Malgun Gothic" w:eastAsia="Malgun Gothic"/>
                <w:b w:val="0"/>
                <w:color w:val="111111"/>
                <w:sz w:val="15"/>
              </w:rPr>
              <w:t>293</w:t>
            </w:r>
          </w:p>
        </w:tc>
        <w:tc>
          <w:tcPr>
            <w:tcW w:type="dxa" w:w="1134"/>
            <w:vAlign w:val="center"/>
          </w:tcPr>
          <w:p>
            <w:pPr>
              <w:jc w:val="right"/>
            </w:pPr>
            <w:r>
              <w:rPr>
                <w:rFonts w:ascii="Malgun Gothic" w:hAnsi="Malgun Gothic" w:eastAsia="Malgun Gothic"/>
                <w:b w:val="0"/>
                <w:color w:val="C00000"/>
                <w:sz w:val="15"/>
              </w:rPr>
              <w:t>-1.23%</w:t>
            </w:r>
          </w:p>
        </w:tc>
        <w:tc>
          <w:tcPr>
            <w:tcW w:type="dxa" w:w="1134"/>
            <w:vAlign w:val="center"/>
          </w:tcPr>
          <w:p>
            <w:pPr>
              <w:jc w:val="right"/>
            </w:pPr>
            <w:r>
              <w:rPr>
                <w:rFonts w:ascii="Malgun Gothic" w:hAnsi="Malgun Gothic" w:eastAsia="Malgun Gothic"/>
                <w:b w:val="0"/>
                <w:color w:val="C00000"/>
                <w:sz w:val="15"/>
              </w:rPr>
              <w:t>-1.25%</w:t>
            </w:r>
          </w:p>
        </w:tc>
      </w:tr>
      <w:tr>
        <w:trPr>
          <w:cantSplit/>
        </w:trPr>
        <w:tc>
          <w:tcPr>
            <w:tcW w:type="dxa" w:w="2438"/>
            <w:shd w:fill="F6F9FC"/>
            <w:vAlign w:val="center"/>
          </w:tcPr>
          <w:p>
            <w:pPr>
              <w:jc w:val="left"/>
            </w:pPr>
            <w:r>
              <w:rPr>
                <w:rFonts w:ascii="Malgun Gothic" w:hAnsi="Malgun Gothic" w:eastAsia="Malgun Gothic"/>
                <w:b/>
                <w:color w:val="111111"/>
                <w:sz w:val="15"/>
              </w:rPr>
              <w:t>방산</w:t>
            </w:r>
          </w:p>
        </w:tc>
        <w:tc>
          <w:tcPr>
            <w:tcW w:type="dxa" w:w="737"/>
            <w:shd w:fill="F6F9FC"/>
            <w:vAlign w:val="center"/>
          </w:tcPr>
          <w:p>
            <w:pPr>
              <w:jc w:val="right"/>
            </w:pPr>
            <w:r>
              <w:rPr>
                <w:rFonts w:ascii="Malgun Gothic" w:hAnsi="Malgun Gothic" w:eastAsia="Malgun Gothic"/>
                <w:b w:val="0"/>
                <w:color w:val="111111"/>
                <w:sz w:val="15"/>
              </w:rPr>
              <w:t>12</w:t>
            </w:r>
          </w:p>
        </w:tc>
        <w:tc>
          <w:tcPr>
            <w:tcW w:type="dxa" w:w="1134"/>
            <w:shd w:fill="F6F9FC"/>
            <w:vAlign w:val="center"/>
          </w:tcPr>
          <w:p>
            <w:pPr>
              <w:jc w:val="right"/>
            </w:pPr>
            <w:r>
              <w:rPr>
                <w:rFonts w:ascii="Malgun Gothic" w:hAnsi="Malgun Gothic" w:eastAsia="Malgun Gothic"/>
                <w:b w:val="0"/>
                <w:color w:val="C00000"/>
                <w:sz w:val="15"/>
              </w:rPr>
              <w:t>-6.41%</w:t>
            </w:r>
          </w:p>
        </w:tc>
        <w:tc>
          <w:tcPr>
            <w:tcW w:type="dxa" w:w="1134"/>
            <w:shd w:fill="F6F9FC"/>
            <w:vAlign w:val="center"/>
          </w:tcPr>
          <w:p>
            <w:pPr>
              <w:jc w:val="right"/>
            </w:pPr>
            <w:r>
              <w:rPr>
                <w:rFonts w:ascii="Malgun Gothic" w:hAnsi="Malgun Gothic" w:eastAsia="Malgun Gothic"/>
                <w:b w:val="0"/>
                <w:color w:val="C00000"/>
                <w:sz w:val="15"/>
              </w:rPr>
              <w:t>-6.10%</w:t>
            </w:r>
          </w:p>
        </w:tc>
        <w:tc>
          <w:tcPr>
            <w:tcW w:type="dxa" w:w="737"/>
            <w:shd w:fill="F6F9FC"/>
            <w:vAlign w:val="center"/>
          </w:tcPr>
          <w:p>
            <w:pPr>
              <w:jc w:val="right"/>
            </w:pPr>
            <w:r>
              <w:rPr>
                <w:rFonts w:ascii="Malgun Gothic" w:hAnsi="Malgun Gothic" w:eastAsia="Malgun Gothic"/>
                <w:b w:val="0"/>
                <w:color w:val="111111"/>
                <w:sz w:val="15"/>
              </w:rPr>
              <w:t>7</w:t>
            </w:r>
          </w:p>
        </w:tc>
        <w:tc>
          <w:tcPr>
            <w:tcW w:type="dxa" w:w="1134"/>
            <w:shd w:fill="F6F9FC"/>
            <w:vAlign w:val="center"/>
          </w:tcPr>
          <w:p>
            <w:pPr>
              <w:jc w:val="right"/>
            </w:pPr>
            <w:r>
              <w:rPr>
                <w:rFonts w:ascii="Malgun Gothic" w:hAnsi="Malgun Gothic" w:eastAsia="Malgun Gothic"/>
                <w:b w:val="0"/>
                <w:color w:val="C00000"/>
                <w:sz w:val="15"/>
              </w:rPr>
              <w:t>-4.89%</w:t>
            </w:r>
          </w:p>
        </w:tc>
        <w:tc>
          <w:tcPr>
            <w:tcW w:type="dxa" w:w="1134"/>
            <w:shd w:fill="F6F9FC"/>
            <w:vAlign w:val="center"/>
          </w:tcPr>
          <w:p>
            <w:pPr>
              <w:jc w:val="right"/>
            </w:pPr>
            <w:r>
              <w:rPr>
                <w:rFonts w:ascii="Malgun Gothic" w:hAnsi="Malgun Gothic" w:eastAsia="Malgun Gothic"/>
                <w:b w:val="0"/>
                <w:color w:val="C00000"/>
                <w:sz w:val="15"/>
              </w:rPr>
              <w:t>-6.43%</w:t>
            </w:r>
          </w:p>
        </w:tc>
      </w:tr>
      <w:tr>
        <w:trPr>
          <w:cantSplit/>
        </w:trPr>
        <w:tc>
          <w:tcPr>
            <w:tcW w:type="dxa" w:w="2438"/>
            <w:vAlign w:val="center"/>
          </w:tcPr>
          <w:p>
            <w:pPr>
              <w:jc w:val="left"/>
            </w:pPr>
            <w:r>
              <w:rPr>
                <w:rFonts w:ascii="Malgun Gothic" w:hAnsi="Malgun Gothic" w:eastAsia="Malgun Gothic"/>
                <w:b/>
                <w:color w:val="111111"/>
                <w:sz w:val="15"/>
              </w:rPr>
              <w:t>AI·DC 광의</w:t>
            </w:r>
          </w:p>
        </w:tc>
        <w:tc>
          <w:tcPr>
            <w:tcW w:type="dxa" w:w="737"/>
            <w:vAlign w:val="center"/>
          </w:tcPr>
          <w:p>
            <w:pPr>
              <w:jc w:val="right"/>
            </w:pPr>
            <w:r>
              <w:rPr>
                <w:rFonts w:ascii="Malgun Gothic" w:hAnsi="Malgun Gothic" w:eastAsia="Malgun Gothic"/>
                <w:b w:val="0"/>
                <w:color w:val="111111"/>
                <w:sz w:val="15"/>
              </w:rPr>
              <w:t>15</w:t>
            </w:r>
          </w:p>
        </w:tc>
        <w:tc>
          <w:tcPr>
            <w:tcW w:type="dxa" w:w="1134"/>
            <w:vAlign w:val="center"/>
          </w:tcPr>
          <w:p>
            <w:pPr>
              <w:jc w:val="right"/>
            </w:pPr>
            <w:r>
              <w:rPr>
                <w:rFonts w:ascii="Malgun Gothic" w:hAnsi="Malgun Gothic" w:eastAsia="Malgun Gothic"/>
                <w:b w:val="0"/>
                <w:color w:val="C00000"/>
                <w:sz w:val="15"/>
              </w:rPr>
              <w:t>-2.39%</w:t>
            </w:r>
          </w:p>
        </w:tc>
        <w:tc>
          <w:tcPr>
            <w:tcW w:type="dxa" w:w="1134"/>
            <w:vAlign w:val="center"/>
          </w:tcPr>
          <w:p>
            <w:pPr>
              <w:jc w:val="right"/>
            </w:pPr>
            <w:r>
              <w:rPr>
                <w:rFonts w:ascii="Malgun Gothic" w:hAnsi="Malgun Gothic" w:eastAsia="Malgun Gothic"/>
                <w:b w:val="0"/>
                <w:color w:val="C00000"/>
                <w:sz w:val="15"/>
              </w:rPr>
              <w:t>-3.51%</w:t>
            </w:r>
          </w:p>
        </w:tc>
        <w:tc>
          <w:tcPr>
            <w:tcW w:type="dxa" w:w="737"/>
            <w:vAlign w:val="center"/>
          </w:tcPr>
          <w:p>
            <w:pPr>
              <w:jc w:val="right"/>
            </w:pPr>
            <w:r>
              <w:rPr>
                <w:rFonts w:ascii="Malgun Gothic" w:hAnsi="Malgun Gothic" w:eastAsia="Malgun Gothic"/>
                <w:b w:val="0"/>
                <w:color w:val="111111"/>
                <w:sz w:val="15"/>
              </w:rPr>
              <w:t>63</w:t>
            </w:r>
          </w:p>
        </w:tc>
        <w:tc>
          <w:tcPr>
            <w:tcW w:type="dxa" w:w="1134"/>
            <w:vAlign w:val="center"/>
          </w:tcPr>
          <w:p>
            <w:pPr>
              <w:jc w:val="right"/>
            </w:pPr>
            <w:r>
              <w:rPr>
                <w:rFonts w:ascii="Malgun Gothic" w:hAnsi="Malgun Gothic" w:eastAsia="Malgun Gothic"/>
                <w:b w:val="0"/>
                <w:color w:val="C00000"/>
                <w:sz w:val="15"/>
              </w:rPr>
              <w:t>-2.05%</w:t>
            </w:r>
          </w:p>
        </w:tc>
        <w:tc>
          <w:tcPr>
            <w:tcW w:type="dxa" w:w="1134"/>
            <w:vAlign w:val="center"/>
          </w:tcPr>
          <w:p>
            <w:pPr>
              <w:jc w:val="right"/>
            </w:pPr>
            <w:r>
              <w:rPr>
                <w:rFonts w:ascii="Malgun Gothic" w:hAnsi="Malgun Gothic" w:eastAsia="Malgun Gothic"/>
                <w:b w:val="0"/>
                <w:color w:val="C00000"/>
                <w:sz w:val="15"/>
              </w:rPr>
              <w:t>-3.49%</w:t>
            </w:r>
          </w:p>
        </w:tc>
      </w:tr>
      <w:tr>
        <w:trPr>
          <w:cantSplit/>
        </w:trPr>
        <w:tc>
          <w:tcPr>
            <w:tcW w:type="dxa" w:w="2438"/>
            <w:shd w:fill="F6F9FC"/>
            <w:vAlign w:val="center"/>
          </w:tcPr>
          <w:p>
            <w:pPr>
              <w:jc w:val="left"/>
            </w:pPr>
            <w:r>
              <w:rPr>
                <w:rFonts w:ascii="Malgun Gothic" w:hAnsi="Malgun Gothic" w:eastAsia="Malgun Gothic"/>
                <w:b/>
                <w:color w:val="111111"/>
                <w:sz w:val="15"/>
              </w:rPr>
              <w:t>기타</w:t>
            </w:r>
          </w:p>
        </w:tc>
        <w:tc>
          <w:tcPr>
            <w:tcW w:type="dxa" w:w="737"/>
            <w:shd w:fill="F6F9FC"/>
            <w:vAlign w:val="center"/>
          </w:tcPr>
          <w:p>
            <w:pPr>
              <w:jc w:val="right"/>
            </w:pPr>
            <w:r>
              <w:rPr>
                <w:rFonts w:ascii="Malgun Gothic" w:hAnsi="Malgun Gothic" w:eastAsia="Malgun Gothic"/>
                <w:b w:val="0"/>
                <w:color w:val="111111"/>
                <w:sz w:val="15"/>
              </w:rPr>
              <w:t>73</w:t>
            </w:r>
          </w:p>
        </w:tc>
        <w:tc>
          <w:tcPr>
            <w:tcW w:type="dxa" w:w="1134"/>
            <w:shd w:fill="F6F9FC"/>
            <w:vAlign w:val="center"/>
          </w:tcPr>
          <w:p>
            <w:pPr>
              <w:jc w:val="right"/>
            </w:pPr>
            <w:r>
              <w:rPr>
                <w:rFonts w:ascii="Malgun Gothic" w:hAnsi="Malgun Gothic" w:eastAsia="Malgun Gothic"/>
                <w:b w:val="0"/>
                <w:color w:val="C00000"/>
                <w:sz w:val="15"/>
              </w:rPr>
              <w:t>-1.18%</w:t>
            </w:r>
          </w:p>
        </w:tc>
        <w:tc>
          <w:tcPr>
            <w:tcW w:type="dxa" w:w="1134"/>
            <w:shd w:fill="F6F9FC"/>
            <w:vAlign w:val="center"/>
          </w:tcPr>
          <w:p>
            <w:pPr>
              <w:jc w:val="right"/>
            </w:pPr>
            <w:r>
              <w:rPr>
                <w:rFonts w:ascii="Malgun Gothic" w:hAnsi="Malgun Gothic" w:eastAsia="Malgun Gothic"/>
                <w:b w:val="0"/>
                <w:color w:val="C00000"/>
                <w:sz w:val="15"/>
              </w:rPr>
              <w:t>-1.64%</w:t>
            </w:r>
          </w:p>
        </w:tc>
        <w:tc>
          <w:tcPr>
            <w:tcW w:type="dxa" w:w="737"/>
            <w:shd w:fill="F6F9FC"/>
            <w:vAlign w:val="center"/>
          </w:tcPr>
          <w:p>
            <w:pPr>
              <w:jc w:val="right"/>
            </w:pPr>
            <w:r>
              <w:rPr>
                <w:rFonts w:ascii="Malgun Gothic" w:hAnsi="Malgun Gothic" w:eastAsia="Malgun Gothic"/>
                <w:b w:val="0"/>
                <w:color w:val="111111"/>
                <w:sz w:val="15"/>
              </w:rPr>
              <w:t>223</w:t>
            </w:r>
          </w:p>
        </w:tc>
        <w:tc>
          <w:tcPr>
            <w:tcW w:type="dxa" w:w="1134"/>
            <w:shd w:fill="F6F9FC"/>
            <w:vAlign w:val="center"/>
          </w:tcPr>
          <w:p>
            <w:pPr>
              <w:jc w:val="right"/>
            </w:pPr>
            <w:r>
              <w:rPr>
                <w:rFonts w:ascii="Malgun Gothic" w:hAnsi="Malgun Gothic" w:eastAsia="Malgun Gothic"/>
                <w:b w:val="0"/>
                <w:color w:val="C00000"/>
                <w:sz w:val="15"/>
              </w:rPr>
              <w:t>-0.88%</w:t>
            </w:r>
          </w:p>
        </w:tc>
        <w:tc>
          <w:tcPr>
            <w:tcW w:type="dxa" w:w="1134"/>
            <w:shd w:fill="F6F9FC"/>
            <w:vAlign w:val="center"/>
          </w:tcPr>
          <w:p>
            <w:pPr>
              <w:jc w:val="right"/>
            </w:pPr>
            <w:r>
              <w:rPr>
                <w:rFonts w:ascii="Malgun Gothic" w:hAnsi="Malgun Gothic" w:eastAsia="Malgun Gothic"/>
                <w:b w:val="0"/>
                <w:color w:val="008000"/>
                <w:sz w:val="15"/>
              </w:rPr>
              <w:t>+1.07%</w:t>
            </w:r>
          </w:p>
        </w:tc>
      </w:tr>
    </w:tbl>
    <w:p>
      <w:pPr>
        <w:spacing w:after="0"/>
      </w:pPr>
    </w:p>
    <w:p>
      <w:pPr>
        <w:keepNext w:val="0"/>
        <w:spacing w:after="80" w:line="269" w:lineRule="auto"/>
      </w:pPr>
      <w:r>
        <w:rPr>
          <w:rFonts w:ascii="Malgun Gothic" w:hAnsi="Malgun Gothic" w:eastAsia="Malgun Gothic"/>
          <w:b w:val="0"/>
          <w:color w:val="666666"/>
          <w:sz w:val="14"/>
        </w:rPr>
        <w:t>*시총가중은 공식 지수 비중이 아니라 시작 시가총액을 이용한 노출 진단값이다.</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AI 광의는 유럽에서 기타 대비 -1.20%p, 일본에서 -1.17%p 언더퍼폼했다.</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유럽 gross downside는 AI 43.1%, 방산 26.3%; 일본은 AI 61.6%, 방산 23.9%였다. 대형 AI 전력·자동화·냉각·케이블주가 시총가중 손실을 크게 만들었다.</w:t>
      </w:r>
    </w:p>
    <w:p>
      <w:pPr>
        <w:spacing w:before="60" w:after="40"/>
        <w:jc w:val="center"/>
      </w:pPr>
      <w:r>
        <w:drawing>
          <wp:inline xmlns:a="http://schemas.openxmlformats.org/drawingml/2006/main" xmlns:pic="http://schemas.openxmlformats.org/drawingml/2006/picture">
            <wp:extent cx="6309360" cy="1642726"/>
            <wp:docPr id="2" name="Picture 2"/>
            <wp:cNvGraphicFramePr>
              <a:graphicFrameLocks noChangeAspect="1"/>
            </wp:cNvGraphicFramePr>
            <a:graphic>
              <a:graphicData uri="http://schemas.openxmlformats.org/drawingml/2006/picture">
                <pic:pic>
                  <pic:nvPicPr>
                    <pic:cNvPr id="0" name="04_cross_market_downside_share.png"/>
                    <pic:cNvPicPr/>
                  </pic:nvPicPr>
                  <pic:blipFill>
                    <a:blip r:embed="rId12"/>
                    <a:stretch>
                      <a:fillRect/>
                    </a:stretch>
                  </pic:blipFill>
                  <pic:spPr>
                    <a:xfrm>
                      <a:off x="0" y="0"/>
                      <a:ext cx="6309360" cy="1642726"/>
                    </a:xfrm>
                    <a:prstGeom prst="rect"/>
                  </pic:spPr>
                </pic:pic>
              </a:graphicData>
            </a:graphic>
          </wp:inline>
        </w:drawing>
      </w:r>
    </w:p>
    <w:p>
      <w:pPr>
        <w:spacing w:after="100"/>
        <w:jc w:val="center"/>
      </w:pPr>
      <w:r>
        <w:rPr>
          <w:rFonts w:ascii="Malgun Gothic" w:hAnsi="Malgun Gothic" w:eastAsia="Malgun Gothic"/>
          <w:b w:val="0"/>
          <w:color w:val="666666"/>
          <w:sz w:val="14"/>
        </w:rPr>
        <w:t>그림 2. 각 그룹의 음(-)의 시총가중 기여를 합산한 gross downside 비중. 그룹 내 플러스 종목의 상쇄효과는 제외.</w:t>
      </w:r>
    </w:p>
    <w:tbl>
      <w:tblPr>
        <w:tblW w:type="auto" w:w="0"/>
        <w:jc w:val="center"/>
        <w:tblLayout w:type="fixed"/>
        <w:tblLook w:firstColumn="1" w:firstRow="1" w:lastColumn="0" w:lastRow="0" w:noHBand="0" w:noVBand="1" w:val="04A0"/>
      </w:tblPr>
      <w:tblGrid>
        <w:gridCol w:w="10710"/>
      </w:tblGrid>
      <w:tr>
        <w:tc>
          <w:tcPr>
            <w:tcW w:type="dxa" w:w="10261"/>
            <w:shd w:fill="FFF2CC"/>
            <w:vAlign w:val="center"/>
          </w:tcPr>
          <w:p>
            <w:pPr>
              <w:spacing w:before="100" w:after="100"/>
              <w:ind w:left="68"/>
            </w:pPr>
            <w:r>
              <w:rPr>
                <w:rFonts w:ascii="Malgun Gothic" w:hAnsi="Malgun Gothic" w:eastAsia="Malgun Gothic"/>
                <w:b/>
                <w:color w:val="9C6500"/>
                <w:sz w:val="19"/>
              </w:rPr>
              <w:t xml:space="preserve">PM 판독  </w:t>
            </w:r>
            <w:r>
              <w:rPr>
                <w:rFonts w:ascii="Malgun Gothic" w:hAnsi="Malgun Gothic" w:eastAsia="Malgun Gothic"/>
                <w:b w:val="0"/>
                <w:color w:val="111111"/>
                <w:sz w:val="19"/>
              </w:rPr>
              <w:t>꼬리위험의 모양은 방산이 만들었지만, 포트폴리오 손익의 중심은 AI 관련 대형주였다. 일본에서는 이 구도가 유럽보다 더 선명했다.</w:t>
            </w:r>
          </w:p>
        </w:tc>
      </w:tr>
    </w:tbl>
    <w:p>
      <w:pPr>
        <w:spacing w:after="0"/>
      </w:pPr>
    </w:p>
    <w:p>
      <w:r>
        <w:br w:type="page"/>
      </w:r>
    </w:p>
    <w:p>
      <w:pPr>
        <w:pStyle w:val="Heading1"/>
        <w:keepNext/>
      </w:pPr>
      <w:r>
        <w:t>TOPIX 날짜 오류: 사용자가 준 9월 4일 데이터는 실제로 있었다</w:t>
      </w:r>
    </w:p>
    <w:tbl>
      <w:tblPr>
        <w:tblStyle w:val="TableGrid"/>
        <w:tblW w:type="auto" w:w="0"/>
        <w:jc w:val="center"/>
        <w:tblLayout w:type="fixed"/>
        <w:tblLook w:firstColumn="1" w:firstRow="1" w:lastColumn="0" w:lastRow="0" w:noHBand="0" w:noVBand="1" w:val="04A0"/>
      </w:tblPr>
      <w:tblGrid>
        <w:gridCol w:w="3570"/>
        <w:gridCol w:w="3570"/>
        <w:gridCol w:w="3570"/>
      </w:tblGrid>
      <w:tr>
        <w:trPr>
          <w:tblHeader w:val="true"/>
          <w:cantSplit/>
        </w:trPr>
        <w:tc>
          <w:tcPr>
            <w:tcW w:type="dxa" w:w="1814"/>
            <w:shd w:fill="17365D"/>
            <w:vAlign w:val="center"/>
          </w:tcPr>
          <w:p>
            <w:pPr>
              <w:jc w:val="center"/>
            </w:pPr>
            <w:r>
              <w:rPr>
                <w:rFonts w:ascii="Malgun Gothic" w:hAnsi="Malgun Gothic" w:eastAsia="Malgun Gothic"/>
                <w:b/>
                <w:color w:val="FFFFFF"/>
                <w:sz w:val="16"/>
              </w:rPr>
              <w:t>항목</w:t>
            </w:r>
          </w:p>
        </w:tc>
        <w:tc>
          <w:tcPr>
            <w:tcW w:type="dxa" w:w="3458"/>
            <w:shd w:fill="17365D"/>
            <w:vAlign w:val="center"/>
          </w:tcPr>
          <w:p>
            <w:pPr>
              <w:jc w:val="center"/>
            </w:pPr>
            <w:r>
              <w:rPr>
                <w:rFonts w:ascii="Malgun Gothic" w:hAnsi="Malgun Gothic" w:eastAsia="Malgun Gothic"/>
                <w:b/>
                <w:color w:val="FFFFFF"/>
                <w:sz w:val="16"/>
              </w:rPr>
              <w:t>기존 산출물</w:t>
            </w:r>
          </w:p>
        </w:tc>
        <w:tc>
          <w:tcPr>
            <w:tcW w:type="dxa" w:w="4139"/>
            <w:shd w:fill="17365D"/>
            <w:vAlign w:val="center"/>
          </w:tcPr>
          <w:p>
            <w:pPr>
              <w:jc w:val="center"/>
            </w:pPr>
            <w:r>
              <w:rPr>
                <w:rFonts w:ascii="Malgun Gothic" w:hAnsi="Malgun Gothic" w:eastAsia="Malgun Gothic"/>
                <w:b/>
                <w:color w:val="FFFFFF"/>
                <w:sz w:val="16"/>
              </w:rPr>
              <w:t>재검토 결과</w:t>
            </w:r>
          </w:p>
        </w:tc>
      </w:tr>
      <w:tr>
        <w:trPr>
          <w:cantSplit/>
        </w:trPr>
        <w:tc>
          <w:tcPr>
            <w:tcW w:type="dxa" w:w="1814"/>
            <w:vAlign w:val="center"/>
          </w:tcPr>
          <w:p>
            <w:pPr>
              <w:jc w:val="left"/>
            </w:pPr>
            <w:r>
              <w:rPr>
                <w:rFonts w:ascii="Malgun Gothic" w:hAnsi="Malgun Gothic" w:eastAsia="Malgun Gothic"/>
                <w:b/>
                <w:color w:val="111111"/>
                <w:sz w:val="16"/>
              </w:rPr>
              <w:t>표시 기준일</w:t>
            </w:r>
          </w:p>
        </w:tc>
        <w:tc>
          <w:tcPr>
            <w:tcW w:type="dxa" w:w="3458"/>
            <w:vAlign w:val="center"/>
          </w:tcPr>
          <w:p>
            <w:pPr>
              <w:jc w:val="right"/>
            </w:pPr>
            <w:r>
              <w:rPr>
                <w:rFonts w:ascii="Malgun Gothic" w:hAnsi="Malgun Gothic" w:eastAsia="Malgun Gothic"/>
                <w:b w:val="0"/>
                <w:color w:val="111111"/>
                <w:sz w:val="16"/>
              </w:rPr>
              <w:t>2026-08-21</w:t>
            </w:r>
          </w:p>
        </w:tc>
        <w:tc>
          <w:tcPr>
            <w:tcW w:type="dxa" w:w="4139"/>
            <w:vAlign w:val="center"/>
          </w:tcPr>
          <w:p>
            <w:pPr>
              <w:jc w:val="right"/>
            </w:pPr>
            <w:r>
              <w:rPr>
                <w:rFonts w:ascii="Malgun Gothic" w:hAnsi="Malgun Gothic" w:eastAsia="Malgun Gothic"/>
                <w:b w:val="0"/>
                <w:color w:val="111111"/>
                <w:sz w:val="16"/>
              </w:rPr>
              <w:t>2026-09-04</w:t>
            </w:r>
          </w:p>
        </w:tc>
      </w:tr>
      <w:tr>
        <w:trPr>
          <w:cantSplit/>
        </w:trPr>
        <w:tc>
          <w:tcPr>
            <w:tcW w:type="dxa" w:w="1814"/>
            <w:shd w:fill="F6F9FC"/>
            <w:vAlign w:val="center"/>
          </w:tcPr>
          <w:p>
            <w:pPr>
              <w:jc w:val="left"/>
            </w:pPr>
            <w:r>
              <w:rPr>
                <w:rFonts w:ascii="Malgun Gothic" w:hAnsi="Malgun Gothic" w:eastAsia="Malgun Gothic"/>
                <w:b/>
                <w:color w:val="111111"/>
                <w:sz w:val="16"/>
              </w:rPr>
              <w:t>사용 구간</w:t>
            </w:r>
          </w:p>
        </w:tc>
        <w:tc>
          <w:tcPr>
            <w:tcW w:type="dxa" w:w="3458"/>
            <w:shd w:fill="F6F9FC"/>
            <w:vAlign w:val="center"/>
          </w:tcPr>
          <w:p>
            <w:pPr>
              <w:jc w:val="right"/>
            </w:pPr>
            <w:r>
              <w:rPr>
                <w:rFonts w:ascii="Malgun Gothic" w:hAnsi="Malgun Gothic" w:eastAsia="Malgun Gothic"/>
                <w:b w:val="0"/>
                <w:color w:val="111111"/>
                <w:sz w:val="16"/>
              </w:rPr>
              <w:t>8/14~8/21</w:t>
            </w:r>
          </w:p>
        </w:tc>
        <w:tc>
          <w:tcPr>
            <w:tcW w:type="dxa" w:w="4139"/>
            <w:shd w:fill="F6F9FC"/>
            <w:vAlign w:val="center"/>
          </w:tcPr>
          <w:p>
            <w:pPr>
              <w:jc w:val="right"/>
            </w:pPr>
            <w:r>
              <w:rPr>
                <w:rFonts w:ascii="Malgun Gothic" w:hAnsi="Malgun Gothic" w:eastAsia="Malgun Gothic"/>
                <w:b w:val="0"/>
                <w:color w:val="111111"/>
                <w:sz w:val="16"/>
              </w:rPr>
              <w:t>8/28~9/4</w:t>
            </w:r>
          </w:p>
        </w:tc>
      </w:tr>
      <w:tr>
        <w:trPr>
          <w:cantSplit/>
        </w:trPr>
        <w:tc>
          <w:tcPr>
            <w:tcW w:type="dxa" w:w="1814"/>
            <w:vAlign w:val="center"/>
          </w:tcPr>
          <w:p>
            <w:pPr>
              <w:jc w:val="left"/>
            </w:pPr>
            <w:r>
              <w:rPr>
                <w:rFonts w:ascii="Malgun Gothic" w:hAnsi="Malgun Gothic" w:eastAsia="Malgun Gothic"/>
                <w:b/>
                <w:color w:val="111111"/>
                <w:sz w:val="16"/>
              </w:rPr>
              <w:t>구성종목</w:t>
            </w:r>
          </w:p>
        </w:tc>
        <w:tc>
          <w:tcPr>
            <w:tcW w:type="dxa" w:w="3458"/>
            <w:vAlign w:val="center"/>
          </w:tcPr>
          <w:p>
            <w:pPr>
              <w:jc w:val="right"/>
            </w:pPr>
            <w:r>
              <w:rPr>
                <w:rFonts w:ascii="Malgun Gothic" w:hAnsi="Malgun Gothic" w:eastAsia="Malgun Gothic"/>
                <w:b w:val="0"/>
                <w:color w:val="111111"/>
                <w:sz w:val="16"/>
              </w:rPr>
              <w:t>옛 fallback 1,636</w:t>
            </w:r>
          </w:p>
        </w:tc>
        <w:tc>
          <w:tcPr>
            <w:tcW w:type="dxa" w:w="4139"/>
            <w:vAlign w:val="center"/>
          </w:tcPr>
          <w:p>
            <w:pPr>
              <w:jc w:val="right"/>
            </w:pPr>
            <w:r>
              <w:rPr>
                <w:rFonts w:ascii="Malgun Gothic" w:hAnsi="Malgun Gothic" w:eastAsia="Malgun Gothic"/>
                <w:b w:val="0"/>
                <w:color w:val="111111"/>
                <w:sz w:val="16"/>
              </w:rPr>
              <w:t>현재 Master 1,635</w:t>
            </w:r>
          </w:p>
        </w:tc>
      </w:tr>
      <w:tr>
        <w:trPr>
          <w:cantSplit/>
        </w:trPr>
        <w:tc>
          <w:tcPr>
            <w:tcW w:type="dxa" w:w="1814"/>
            <w:shd w:fill="F6F9FC"/>
            <w:vAlign w:val="center"/>
          </w:tcPr>
          <w:p>
            <w:pPr>
              <w:jc w:val="left"/>
            </w:pPr>
            <w:r>
              <w:rPr>
                <w:rFonts w:ascii="Malgun Gothic" w:hAnsi="Malgun Gothic" w:eastAsia="Malgun Gothic"/>
                <w:b/>
                <w:color w:val="111111"/>
                <w:sz w:val="16"/>
              </w:rPr>
              <w:t>원천 선택</w:t>
            </w:r>
          </w:p>
        </w:tc>
        <w:tc>
          <w:tcPr>
            <w:tcW w:type="dxa" w:w="3458"/>
            <w:shd w:fill="F6F9FC"/>
            <w:vAlign w:val="center"/>
          </w:tcPr>
          <w:p>
            <w:pPr>
              <w:jc w:val="right"/>
            </w:pPr>
            <w:r>
              <w:rPr>
                <w:rFonts w:ascii="Malgun Gothic" w:hAnsi="Malgun Gothic" w:eastAsia="Malgun Gothic"/>
                <w:b w:val="0"/>
                <w:color w:val="111111"/>
                <w:sz w:val="16"/>
              </w:rPr>
              <w:t>historical_fallback</w:t>
            </w:r>
          </w:p>
        </w:tc>
        <w:tc>
          <w:tcPr>
            <w:tcW w:type="dxa" w:w="4139"/>
            <w:shd w:fill="F6F9FC"/>
            <w:vAlign w:val="center"/>
          </w:tcPr>
          <w:p>
            <w:pPr>
              <w:jc w:val="right"/>
            </w:pPr>
            <w:r>
              <w:rPr>
                <w:rFonts w:ascii="Malgun Gothic" w:hAnsi="Malgun Gothic" w:eastAsia="Malgun Gothic"/>
                <w:b w:val="0"/>
                <w:color w:val="111111"/>
                <w:sz w:val="16"/>
              </w:rPr>
              <w:t>현재 구성 + 검증된 종가 복원</w:t>
            </w:r>
          </w:p>
        </w:tc>
      </w:tr>
      <w:tr>
        <w:trPr>
          <w:cantSplit/>
        </w:trPr>
        <w:tc>
          <w:tcPr>
            <w:tcW w:type="dxa" w:w="1814"/>
            <w:vAlign w:val="center"/>
          </w:tcPr>
          <w:p>
            <w:pPr>
              <w:jc w:val="left"/>
            </w:pPr>
            <w:r>
              <w:rPr>
                <w:rFonts w:ascii="Malgun Gothic" w:hAnsi="Malgun Gothic" w:eastAsia="Malgun Gothic"/>
                <w:b/>
                <w:color w:val="111111"/>
                <w:sz w:val="16"/>
              </w:rPr>
              <w:t>현지 데이터</w:t>
            </w:r>
          </w:p>
        </w:tc>
        <w:tc>
          <w:tcPr>
            <w:tcW w:type="dxa" w:w="3458"/>
            <w:vAlign w:val="center"/>
          </w:tcPr>
          <w:p>
            <w:pPr>
              <w:jc w:val="right"/>
            </w:pPr>
            <w:r>
              <w:rPr>
                <w:rFonts w:ascii="Malgun Gothic" w:hAnsi="Malgun Gothic" w:eastAsia="Malgun Gothic"/>
                <w:b w:val="0"/>
                <w:color w:val="111111"/>
                <w:sz w:val="16"/>
              </w:rPr>
              <w:t>9/2·9/3·9/4를 버림</w:t>
            </w:r>
          </w:p>
        </w:tc>
        <w:tc>
          <w:tcPr>
            <w:tcW w:type="dxa" w:w="4139"/>
            <w:vAlign w:val="center"/>
          </w:tcPr>
          <w:p>
            <w:pPr>
              <w:jc w:val="right"/>
            </w:pPr>
            <w:r>
              <w:rPr>
                <w:rFonts w:ascii="Malgun Gothic" w:hAnsi="Malgun Gothic" w:eastAsia="Malgun Gothic"/>
                <w:b w:val="0"/>
                <w:color w:val="111111"/>
                <w:sz w:val="16"/>
              </w:rPr>
              <w:t>전부 보존·대조</w:t>
            </w:r>
          </w:p>
        </w:tc>
      </w:tr>
    </w:tbl>
    <w:p>
      <w:pPr>
        <w:spacing w:after="0"/>
      </w:pP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Master에는 9월 4일까지의 TOPIX 데이터가 있었다. 다만 5D에 필요한 8월 28일·31일·9월 1일 종가가 없어, 기존 코드가 8월 21일짜리 옛 완성형 데이터로 자동 후퇴했다.</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오류는 날짜 표기 문제가 아니라 원천 선택 문제였다. 기존 JSON도 sourceMode=historical_fallback, asOf=2026-08-21, fallbackReason='found 3'을 기록하고 있었다.</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이번 재계산은 현재 1,635종목 전체의 8/28~9/4 종가를 복원했다. Master와 겹치는 9/2~9/4의 4,905개 가격을 대조한 결과 중앙 절대오차는 0, 최대 오차도 0.0000046% 미만이었다.</w:t>
      </w:r>
    </w:p>
    <w:p>
      <w:pPr>
        <w:spacing w:after="80" w:line="269" w:lineRule="auto"/>
      </w:pPr>
      <w:r>
        <w:rPr>
          <w:rFonts w:ascii="Malgun Gothic" w:hAnsi="Malgun Gothic" w:eastAsia="Malgun Gothic"/>
          <w:b/>
          <w:color w:val="9C6500"/>
          <w:sz w:val="18"/>
        </w:rPr>
        <w:t xml:space="preserve">[INFERENCE] </w:t>
      </w:r>
      <w:r>
        <w:rPr>
          <w:rFonts w:ascii="Malgun Gothic" w:hAnsi="Malgun Gothic" w:eastAsia="Malgun Gothic"/>
          <w:b w:val="0"/>
          <w:color w:val="111111"/>
          <w:sz w:val="18"/>
        </w:rPr>
        <w:t>따라서 사용자의 지적이 맞다. 9월 4일 데이터가 빠진 것이 아니라, 보고서 로직이 부분적으로 존재하는 최신 구간보다 오래된 완성형 구간을 우선한 설계 결함이었다.</w:t>
      </w:r>
    </w:p>
    <w:tbl>
      <w:tblPr>
        <w:tblW w:type="auto" w:w="0"/>
        <w:jc w:val="center"/>
        <w:tblLayout w:type="fixed"/>
        <w:tblLook w:firstColumn="1" w:firstRow="1" w:lastColumn="0" w:lastRow="0" w:noHBand="0" w:noVBand="1" w:val="04A0"/>
      </w:tblPr>
      <w:tblGrid>
        <w:gridCol w:w="10710"/>
      </w:tblGrid>
      <w:tr>
        <w:tc>
          <w:tcPr>
            <w:tcW w:type="dxa" w:w="10261"/>
            <w:shd w:fill="E2F0D9"/>
            <w:vAlign w:val="center"/>
          </w:tcPr>
          <w:p>
            <w:pPr>
              <w:spacing w:before="100" w:after="100"/>
              <w:ind w:left="68"/>
            </w:pPr>
            <w:r>
              <w:rPr>
                <w:rFonts w:ascii="Malgun Gothic" w:hAnsi="Malgun Gothic" w:eastAsia="Malgun Gothic"/>
                <w:b/>
                <w:color w:val="008000"/>
                <w:sz w:val="19"/>
              </w:rPr>
              <w:t xml:space="preserve">재발 방지  </w:t>
            </w:r>
            <w:r>
              <w:rPr>
                <w:rFonts w:ascii="Malgun Gothic" w:hAnsi="Malgun Gothic" w:eastAsia="Malgun Gothic"/>
                <w:b w:val="0"/>
                <w:color w:val="111111"/>
                <w:sz w:val="19"/>
              </w:rPr>
              <w:t>off-by-one 세션 판별을 고치고, --as-of cutoff를 추가하며, 더 오래된 fallback은 명시적으로 허용한 경우에만 쓰도록 안전 패치 사본을 만들었다. 운영 원본은 아직 덮어쓰지 않았다.</w:t>
            </w:r>
          </w:p>
        </w:tc>
      </w:tr>
    </w:tbl>
    <w:p>
      <w:pPr>
        <w:spacing w:after="0"/>
      </w:pPr>
    </w:p>
    <w:p>
      <w:pPr>
        <w:pStyle w:val="Heading2"/>
        <w:keepNext/>
      </w:pPr>
      <w:r>
        <w:t>정확한 5D 정의</w:t>
      </w:r>
    </w:p>
    <w:p>
      <w:pPr>
        <w:keepNext w:val="0"/>
        <w:spacing w:after="80" w:line="269" w:lineRule="auto"/>
      </w:pPr>
      <w:r>
        <w:rPr>
          <w:rFonts w:ascii="Malgun Gothic" w:hAnsi="Malgun Gothic" w:eastAsia="Malgun Gothic"/>
          <w:b w:val="0"/>
          <w:color w:val="111111"/>
          <w:sz w:val="18"/>
        </w:rPr>
        <w:t>사용한 종가: 2026-08-28, 8/31, 9/1, 9/2, 9/3, 9/4. 5D는 9/4 종가 ÷ 8/28 종가 - 1이다. 주말 carry 값과 9/7 장중 후보는 배제했다.</w:t>
      </w:r>
    </w:p>
    <w:p>
      <w:r>
        <w:br w:type="page"/>
      </w:r>
    </w:p>
    <w:p>
      <w:pPr>
        <w:pStyle w:val="Heading1"/>
        <w:keepNext/>
      </w:pPr>
      <w:r>
        <w:t>TOPIX Capital Goods: 무엇이 실제로 약했나</w:t>
      </w:r>
    </w:p>
    <w:tbl>
      <w:tblPr>
        <w:tblStyle w:val="TableGrid"/>
        <w:tblW w:type="auto" w:w="0"/>
        <w:jc w:val="center"/>
        <w:tblLayout w:type="fixed"/>
        <w:tblLook w:firstColumn="1" w:firstRow="1" w:lastColumn="0" w:lastRow="0" w:noHBand="0" w:noVBand="1" w:val="04A0"/>
      </w:tblPr>
      <w:tblGrid>
        <w:gridCol w:w="1530"/>
        <w:gridCol w:w="1530"/>
        <w:gridCol w:w="1530"/>
        <w:gridCol w:w="1530"/>
        <w:gridCol w:w="1530"/>
        <w:gridCol w:w="1530"/>
        <w:gridCol w:w="1530"/>
      </w:tblGrid>
      <w:tr>
        <w:trPr>
          <w:tblHeader w:val="true"/>
          <w:cantSplit/>
        </w:trPr>
        <w:tc>
          <w:tcPr>
            <w:tcW w:type="dxa" w:w="1984"/>
            <w:shd w:fill="17365D"/>
            <w:vAlign w:val="center"/>
          </w:tcPr>
          <w:p>
            <w:pPr>
              <w:jc w:val="center"/>
            </w:pPr>
            <w:r>
              <w:rPr>
                <w:rFonts w:ascii="Malgun Gothic" w:hAnsi="Malgun Gothic" w:eastAsia="Malgun Gothic"/>
                <w:b/>
                <w:color w:val="FFFFFF"/>
                <w:sz w:val="15"/>
              </w:rPr>
              <w:t>분석 묶음</w:t>
            </w:r>
          </w:p>
        </w:tc>
        <w:tc>
          <w:tcPr>
            <w:tcW w:type="dxa" w:w="567"/>
            <w:shd w:fill="17365D"/>
            <w:vAlign w:val="center"/>
          </w:tcPr>
          <w:p>
            <w:pPr>
              <w:jc w:val="center"/>
            </w:pPr>
            <w:r>
              <w:rPr>
                <w:rFonts w:ascii="Malgun Gothic" w:hAnsi="Malgun Gothic" w:eastAsia="Malgun Gothic"/>
                <w:b/>
                <w:color w:val="FFFFFF"/>
                <w:sz w:val="15"/>
              </w:rPr>
              <w:t>N</w:t>
            </w:r>
          </w:p>
        </w:tc>
        <w:tc>
          <w:tcPr>
            <w:tcW w:type="dxa" w:w="1020"/>
            <w:shd w:fill="17365D"/>
            <w:vAlign w:val="center"/>
          </w:tcPr>
          <w:p>
            <w:pPr>
              <w:jc w:val="center"/>
            </w:pPr>
            <w:r>
              <w:rPr>
                <w:rFonts w:ascii="Malgun Gothic" w:hAnsi="Malgun Gothic" w:eastAsia="Malgun Gothic"/>
                <w:b/>
                <w:color w:val="FFFFFF"/>
                <w:sz w:val="15"/>
              </w:rPr>
              <w:t>EW</w:t>
            </w:r>
          </w:p>
        </w:tc>
        <w:tc>
          <w:tcPr>
            <w:tcW w:type="dxa" w:w="1020"/>
            <w:shd w:fill="17365D"/>
            <w:vAlign w:val="center"/>
          </w:tcPr>
          <w:p>
            <w:pPr>
              <w:jc w:val="center"/>
            </w:pPr>
            <w:r>
              <w:rPr>
                <w:rFonts w:ascii="Malgun Gothic" w:hAnsi="Malgun Gothic" w:eastAsia="Malgun Gothic"/>
                <w:b/>
                <w:color w:val="FFFFFF"/>
                <w:sz w:val="15"/>
              </w:rPr>
              <w:t>중앙</w:t>
            </w:r>
          </w:p>
        </w:tc>
        <w:tc>
          <w:tcPr>
            <w:tcW w:type="dxa" w:w="907"/>
            <w:shd w:fill="17365D"/>
            <w:vAlign w:val="center"/>
          </w:tcPr>
          <w:p>
            <w:pPr>
              <w:jc w:val="center"/>
            </w:pPr>
            <w:r>
              <w:rPr>
                <w:rFonts w:ascii="Malgun Gothic" w:hAnsi="Malgun Gothic" w:eastAsia="Malgun Gothic"/>
                <w:b/>
                <w:color w:val="FFFFFF"/>
                <w:sz w:val="15"/>
              </w:rPr>
              <w:t>상승</w:t>
            </w:r>
          </w:p>
        </w:tc>
        <w:tc>
          <w:tcPr>
            <w:tcW w:type="dxa" w:w="1020"/>
            <w:shd w:fill="17365D"/>
            <w:vAlign w:val="center"/>
          </w:tcPr>
          <w:p>
            <w:pPr>
              <w:jc w:val="center"/>
            </w:pPr>
            <w:r>
              <w:rPr>
                <w:rFonts w:ascii="Malgun Gothic" w:hAnsi="Malgun Gothic" w:eastAsia="Malgun Gothic"/>
                <w:b/>
                <w:color w:val="FFFFFF"/>
                <w:sz w:val="15"/>
              </w:rPr>
              <w:t>CW*</w:t>
            </w:r>
          </w:p>
        </w:tc>
        <w:tc>
          <w:tcPr>
            <w:tcW w:type="dxa" w:w="1134"/>
            <w:shd w:fill="17365D"/>
            <w:vAlign w:val="center"/>
          </w:tcPr>
          <w:p>
            <w:pPr>
              <w:jc w:val="center"/>
            </w:pPr>
            <w:r>
              <w:rPr>
                <w:rFonts w:ascii="Malgun Gothic" w:hAnsi="Malgun Gothic" w:eastAsia="Malgun Gothic"/>
                <w:b/>
                <w:color w:val="FFFFFF"/>
                <w:sz w:val="15"/>
              </w:rPr>
              <w:t>gross↓</w:t>
            </w:r>
          </w:p>
        </w:tc>
      </w:tr>
      <w:tr>
        <w:trPr>
          <w:cantSplit/>
        </w:trPr>
        <w:tc>
          <w:tcPr>
            <w:tcW w:type="dxa" w:w="1984"/>
            <w:vAlign w:val="center"/>
          </w:tcPr>
          <w:p>
            <w:pPr>
              <w:jc w:val="left"/>
            </w:pPr>
            <w:r>
              <w:rPr>
                <w:rFonts w:ascii="Malgun Gothic" w:hAnsi="Malgun Gothic" w:eastAsia="Malgun Gothic"/>
                <w:b/>
                <w:color w:val="111111"/>
                <w:sz w:val="15"/>
              </w:rPr>
              <w:t>방산</w:t>
            </w:r>
          </w:p>
        </w:tc>
        <w:tc>
          <w:tcPr>
            <w:tcW w:type="dxa" w:w="567"/>
            <w:vAlign w:val="center"/>
          </w:tcPr>
          <w:p>
            <w:pPr>
              <w:jc w:val="right"/>
            </w:pPr>
            <w:r>
              <w:rPr>
                <w:rFonts w:ascii="Malgun Gothic" w:hAnsi="Malgun Gothic" w:eastAsia="Malgun Gothic"/>
                <w:b w:val="0"/>
                <w:color w:val="111111"/>
                <w:sz w:val="15"/>
              </w:rPr>
              <w:t>7</w:t>
            </w:r>
          </w:p>
        </w:tc>
        <w:tc>
          <w:tcPr>
            <w:tcW w:type="dxa" w:w="1020"/>
            <w:vAlign w:val="center"/>
          </w:tcPr>
          <w:p>
            <w:pPr>
              <w:jc w:val="right"/>
            </w:pPr>
            <w:r>
              <w:rPr>
                <w:rFonts w:ascii="Malgun Gothic" w:hAnsi="Malgun Gothic" w:eastAsia="Malgun Gothic"/>
                <w:b w:val="0"/>
                <w:color w:val="C00000"/>
                <w:sz w:val="15"/>
              </w:rPr>
              <w:t>-4.89%</w:t>
            </w:r>
          </w:p>
        </w:tc>
        <w:tc>
          <w:tcPr>
            <w:tcW w:type="dxa" w:w="1020"/>
            <w:vAlign w:val="center"/>
          </w:tcPr>
          <w:p>
            <w:pPr>
              <w:jc w:val="right"/>
            </w:pPr>
            <w:r>
              <w:rPr>
                <w:rFonts w:ascii="Malgun Gothic" w:hAnsi="Malgun Gothic" w:eastAsia="Malgun Gothic"/>
                <w:b w:val="0"/>
                <w:color w:val="C00000"/>
                <w:sz w:val="15"/>
              </w:rPr>
              <w:t>-5.12%</w:t>
            </w:r>
          </w:p>
        </w:tc>
        <w:tc>
          <w:tcPr>
            <w:tcW w:type="dxa" w:w="907"/>
            <w:vAlign w:val="center"/>
          </w:tcPr>
          <w:p>
            <w:pPr>
              <w:jc w:val="right"/>
            </w:pPr>
            <w:r>
              <w:rPr>
                <w:rFonts w:ascii="Malgun Gothic" w:hAnsi="Malgun Gothic" w:eastAsia="Malgun Gothic"/>
                <w:b w:val="0"/>
                <w:color w:val="111111"/>
                <w:sz w:val="15"/>
              </w:rPr>
              <w:t>0.0%</w:t>
            </w:r>
          </w:p>
        </w:tc>
        <w:tc>
          <w:tcPr>
            <w:tcW w:type="dxa" w:w="1020"/>
            <w:vAlign w:val="center"/>
          </w:tcPr>
          <w:p>
            <w:pPr>
              <w:jc w:val="right"/>
            </w:pPr>
            <w:r>
              <w:rPr>
                <w:rFonts w:ascii="Malgun Gothic" w:hAnsi="Malgun Gothic" w:eastAsia="Malgun Gothic"/>
                <w:b w:val="0"/>
                <w:color w:val="C00000"/>
                <w:sz w:val="15"/>
              </w:rPr>
              <w:t>-6.43%</w:t>
            </w:r>
          </w:p>
        </w:tc>
        <w:tc>
          <w:tcPr>
            <w:tcW w:type="dxa" w:w="1134"/>
            <w:vAlign w:val="center"/>
          </w:tcPr>
          <w:p>
            <w:pPr>
              <w:jc w:val="right"/>
            </w:pPr>
            <w:r>
              <w:rPr>
                <w:rFonts w:ascii="Malgun Gothic" w:hAnsi="Malgun Gothic" w:eastAsia="Malgun Gothic"/>
                <w:b w:val="0"/>
                <w:color w:val="111111"/>
                <w:sz w:val="15"/>
              </w:rPr>
              <w:t>23.9%</w:t>
            </w:r>
          </w:p>
        </w:tc>
      </w:tr>
      <w:tr>
        <w:trPr>
          <w:cantSplit/>
        </w:trPr>
        <w:tc>
          <w:tcPr>
            <w:tcW w:type="dxa" w:w="1984"/>
            <w:shd w:fill="F6F9FC"/>
            <w:vAlign w:val="center"/>
          </w:tcPr>
          <w:p>
            <w:pPr>
              <w:jc w:val="left"/>
            </w:pPr>
            <w:r>
              <w:rPr>
                <w:rFonts w:ascii="Malgun Gothic" w:hAnsi="Malgun Gothic" w:eastAsia="Malgun Gothic"/>
                <w:b/>
                <w:color w:val="111111"/>
                <w:sz w:val="15"/>
              </w:rPr>
              <w:t>AI·DC 직접</w:t>
            </w:r>
          </w:p>
        </w:tc>
        <w:tc>
          <w:tcPr>
            <w:tcW w:type="dxa" w:w="567"/>
            <w:shd w:fill="F6F9FC"/>
            <w:vAlign w:val="center"/>
          </w:tcPr>
          <w:p>
            <w:pPr>
              <w:jc w:val="right"/>
            </w:pPr>
            <w:r>
              <w:rPr>
                <w:rFonts w:ascii="Malgun Gothic" w:hAnsi="Malgun Gothic" w:eastAsia="Malgun Gothic"/>
                <w:b w:val="0"/>
                <w:color w:val="111111"/>
                <w:sz w:val="15"/>
              </w:rPr>
              <w:t>18</w:t>
            </w:r>
          </w:p>
        </w:tc>
        <w:tc>
          <w:tcPr>
            <w:tcW w:type="dxa" w:w="1020"/>
            <w:shd w:fill="F6F9FC"/>
            <w:vAlign w:val="center"/>
          </w:tcPr>
          <w:p>
            <w:pPr>
              <w:jc w:val="right"/>
            </w:pPr>
            <w:r>
              <w:rPr>
                <w:rFonts w:ascii="Malgun Gothic" w:hAnsi="Malgun Gothic" w:eastAsia="Malgun Gothic"/>
                <w:b w:val="0"/>
                <w:color w:val="C00000"/>
                <w:sz w:val="15"/>
              </w:rPr>
              <w:t>-2.92%</w:t>
            </w:r>
          </w:p>
        </w:tc>
        <w:tc>
          <w:tcPr>
            <w:tcW w:type="dxa" w:w="1020"/>
            <w:shd w:fill="F6F9FC"/>
            <w:vAlign w:val="center"/>
          </w:tcPr>
          <w:p>
            <w:pPr>
              <w:jc w:val="right"/>
            </w:pPr>
            <w:r>
              <w:rPr>
                <w:rFonts w:ascii="Malgun Gothic" w:hAnsi="Malgun Gothic" w:eastAsia="Malgun Gothic"/>
                <w:b w:val="0"/>
                <w:color w:val="C00000"/>
                <w:sz w:val="15"/>
              </w:rPr>
              <w:t>-2.14%</w:t>
            </w:r>
          </w:p>
        </w:tc>
        <w:tc>
          <w:tcPr>
            <w:tcW w:type="dxa" w:w="907"/>
            <w:shd w:fill="F6F9FC"/>
            <w:vAlign w:val="center"/>
          </w:tcPr>
          <w:p>
            <w:pPr>
              <w:jc w:val="right"/>
            </w:pPr>
            <w:r>
              <w:rPr>
                <w:rFonts w:ascii="Malgun Gothic" w:hAnsi="Malgun Gothic" w:eastAsia="Malgun Gothic"/>
                <w:b w:val="0"/>
                <w:color w:val="111111"/>
                <w:sz w:val="15"/>
              </w:rPr>
              <w:t>11.1%</w:t>
            </w:r>
          </w:p>
        </w:tc>
        <w:tc>
          <w:tcPr>
            <w:tcW w:type="dxa" w:w="1020"/>
            <w:shd w:fill="F6F9FC"/>
            <w:vAlign w:val="center"/>
          </w:tcPr>
          <w:p>
            <w:pPr>
              <w:jc w:val="right"/>
            </w:pPr>
            <w:r>
              <w:rPr>
                <w:rFonts w:ascii="Malgun Gothic" w:hAnsi="Malgun Gothic" w:eastAsia="Malgun Gothic"/>
                <w:b w:val="0"/>
                <w:color w:val="C00000"/>
                <w:sz w:val="15"/>
              </w:rPr>
              <w:t>-4.10%</w:t>
            </w:r>
          </w:p>
        </w:tc>
        <w:tc>
          <w:tcPr>
            <w:tcW w:type="dxa" w:w="1134"/>
            <w:shd w:fill="F6F9FC"/>
            <w:vAlign w:val="center"/>
          </w:tcPr>
          <w:p>
            <w:pPr>
              <w:jc w:val="right"/>
            </w:pPr>
            <w:r>
              <w:rPr>
                <w:rFonts w:ascii="Malgun Gothic" w:hAnsi="Malgun Gothic" w:eastAsia="Malgun Gothic"/>
                <w:b w:val="0"/>
                <w:color w:val="111111"/>
                <w:sz w:val="15"/>
              </w:rPr>
              <w:t>47.7%</w:t>
            </w:r>
          </w:p>
        </w:tc>
      </w:tr>
      <w:tr>
        <w:trPr>
          <w:cantSplit/>
        </w:trPr>
        <w:tc>
          <w:tcPr>
            <w:tcW w:type="dxa" w:w="1984"/>
            <w:vAlign w:val="center"/>
          </w:tcPr>
          <w:p>
            <w:pPr>
              <w:jc w:val="left"/>
            </w:pPr>
            <w:r>
              <w:rPr>
                <w:rFonts w:ascii="Malgun Gothic" w:hAnsi="Malgun Gothic" w:eastAsia="Malgun Gothic"/>
                <w:b/>
                <w:color w:val="111111"/>
                <w:sz w:val="15"/>
              </w:rPr>
              <w:t>AI 인접</w:t>
            </w:r>
          </w:p>
        </w:tc>
        <w:tc>
          <w:tcPr>
            <w:tcW w:type="dxa" w:w="567"/>
            <w:vAlign w:val="center"/>
          </w:tcPr>
          <w:p>
            <w:pPr>
              <w:jc w:val="right"/>
            </w:pPr>
            <w:r>
              <w:rPr>
                <w:rFonts w:ascii="Malgun Gothic" w:hAnsi="Malgun Gothic" w:eastAsia="Malgun Gothic"/>
                <w:b w:val="0"/>
                <w:color w:val="111111"/>
                <w:sz w:val="15"/>
              </w:rPr>
              <w:t>45</w:t>
            </w:r>
          </w:p>
        </w:tc>
        <w:tc>
          <w:tcPr>
            <w:tcW w:type="dxa" w:w="1020"/>
            <w:vAlign w:val="center"/>
          </w:tcPr>
          <w:p>
            <w:pPr>
              <w:jc w:val="right"/>
            </w:pPr>
            <w:r>
              <w:rPr>
                <w:rFonts w:ascii="Malgun Gothic" w:hAnsi="Malgun Gothic" w:eastAsia="Malgun Gothic"/>
                <w:b w:val="0"/>
                <w:color w:val="C00000"/>
                <w:sz w:val="15"/>
              </w:rPr>
              <w:t>-1.70%</w:t>
            </w:r>
          </w:p>
        </w:tc>
        <w:tc>
          <w:tcPr>
            <w:tcW w:type="dxa" w:w="1020"/>
            <w:vAlign w:val="center"/>
          </w:tcPr>
          <w:p>
            <w:pPr>
              <w:jc w:val="right"/>
            </w:pPr>
            <w:r>
              <w:rPr>
                <w:rFonts w:ascii="Malgun Gothic" w:hAnsi="Malgun Gothic" w:eastAsia="Malgun Gothic"/>
                <w:b w:val="0"/>
                <w:color w:val="C00000"/>
                <w:sz w:val="15"/>
              </w:rPr>
              <w:t>-2.00%</w:t>
            </w:r>
          </w:p>
        </w:tc>
        <w:tc>
          <w:tcPr>
            <w:tcW w:type="dxa" w:w="907"/>
            <w:vAlign w:val="center"/>
          </w:tcPr>
          <w:p>
            <w:pPr>
              <w:jc w:val="right"/>
            </w:pPr>
            <w:r>
              <w:rPr>
                <w:rFonts w:ascii="Malgun Gothic" w:hAnsi="Malgun Gothic" w:eastAsia="Malgun Gothic"/>
                <w:b w:val="0"/>
                <w:color w:val="111111"/>
                <w:sz w:val="15"/>
              </w:rPr>
              <w:t>26.7%</w:t>
            </w:r>
          </w:p>
        </w:tc>
        <w:tc>
          <w:tcPr>
            <w:tcW w:type="dxa" w:w="1020"/>
            <w:vAlign w:val="center"/>
          </w:tcPr>
          <w:p>
            <w:pPr>
              <w:jc w:val="right"/>
            </w:pPr>
            <w:r>
              <w:rPr>
                <w:rFonts w:ascii="Malgun Gothic" w:hAnsi="Malgun Gothic" w:eastAsia="Malgun Gothic"/>
                <w:b w:val="0"/>
                <w:color w:val="C00000"/>
                <w:sz w:val="15"/>
              </w:rPr>
              <w:t>-2.19%</w:t>
            </w:r>
          </w:p>
        </w:tc>
        <w:tc>
          <w:tcPr>
            <w:tcW w:type="dxa" w:w="1134"/>
            <w:vAlign w:val="center"/>
          </w:tcPr>
          <w:p>
            <w:pPr>
              <w:jc w:val="right"/>
            </w:pPr>
            <w:r>
              <w:rPr>
                <w:rFonts w:ascii="Malgun Gothic" w:hAnsi="Malgun Gothic" w:eastAsia="Malgun Gothic"/>
                <w:b w:val="0"/>
                <w:color w:val="111111"/>
                <w:sz w:val="15"/>
              </w:rPr>
              <w:t>13.8%</w:t>
            </w:r>
          </w:p>
        </w:tc>
      </w:tr>
      <w:tr>
        <w:trPr>
          <w:cantSplit/>
        </w:trPr>
        <w:tc>
          <w:tcPr>
            <w:tcW w:type="dxa" w:w="1984"/>
            <w:shd w:fill="F6F9FC"/>
            <w:vAlign w:val="center"/>
          </w:tcPr>
          <w:p>
            <w:pPr>
              <w:jc w:val="left"/>
            </w:pPr>
            <w:r>
              <w:rPr>
                <w:rFonts w:ascii="Malgun Gothic" w:hAnsi="Malgun Gothic" w:eastAsia="Malgun Gothic"/>
                <w:b/>
                <w:color w:val="111111"/>
                <w:sz w:val="15"/>
              </w:rPr>
              <w:t>AI 광의</w:t>
            </w:r>
          </w:p>
        </w:tc>
        <w:tc>
          <w:tcPr>
            <w:tcW w:type="dxa" w:w="567"/>
            <w:shd w:fill="F6F9FC"/>
            <w:vAlign w:val="center"/>
          </w:tcPr>
          <w:p>
            <w:pPr>
              <w:jc w:val="right"/>
            </w:pPr>
            <w:r>
              <w:rPr>
                <w:rFonts w:ascii="Malgun Gothic" w:hAnsi="Malgun Gothic" w:eastAsia="Malgun Gothic"/>
                <w:b w:val="0"/>
                <w:color w:val="111111"/>
                <w:sz w:val="15"/>
              </w:rPr>
              <w:t>63</w:t>
            </w:r>
          </w:p>
        </w:tc>
        <w:tc>
          <w:tcPr>
            <w:tcW w:type="dxa" w:w="1020"/>
            <w:shd w:fill="F6F9FC"/>
            <w:vAlign w:val="center"/>
          </w:tcPr>
          <w:p>
            <w:pPr>
              <w:jc w:val="right"/>
            </w:pPr>
            <w:r>
              <w:rPr>
                <w:rFonts w:ascii="Malgun Gothic" w:hAnsi="Malgun Gothic" w:eastAsia="Malgun Gothic"/>
                <w:b w:val="0"/>
                <w:color w:val="C00000"/>
                <w:sz w:val="15"/>
              </w:rPr>
              <w:t>-2.05%</w:t>
            </w:r>
          </w:p>
        </w:tc>
        <w:tc>
          <w:tcPr>
            <w:tcW w:type="dxa" w:w="1020"/>
            <w:shd w:fill="F6F9FC"/>
            <w:vAlign w:val="center"/>
          </w:tcPr>
          <w:p>
            <w:pPr>
              <w:jc w:val="right"/>
            </w:pPr>
            <w:r>
              <w:rPr>
                <w:rFonts w:ascii="Malgun Gothic" w:hAnsi="Malgun Gothic" w:eastAsia="Malgun Gothic"/>
                <w:b w:val="0"/>
                <w:color w:val="C00000"/>
                <w:sz w:val="15"/>
              </w:rPr>
              <w:t>-2.00%</w:t>
            </w:r>
          </w:p>
        </w:tc>
        <w:tc>
          <w:tcPr>
            <w:tcW w:type="dxa" w:w="907"/>
            <w:shd w:fill="F6F9FC"/>
            <w:vAlign w:val="center"/>
          </w:tcPr>
          <w:p>
            <w:pPr>
              <w:jc w:val="right"/>
            </w:pPr>
            <w:r>
              <w:rPr>
                <w:rFonts w:ascii="Malgun Gothic" w:hAnsi="Malgun Gothic" w:eastAsia="Malgun Gothic"/>
                <w:b w:val="0"/>
                <w:color w:val="111111"/>
                <w:sz w:val="15"/>
              </w:rPr>
              <w:t>22.2%</w:t>
            </w:r>
          </w:p>
        </w:tc>
        <w:tc>
          <w:tcPr>
            <w:tcW w:type="dxa" w:w="1020"/>
            <w:shd w:fill="F6F9FC"/>
            <w:vAlign w:val="center"/>
          </w:tcPr>
          <w:p>
            <w:pPr>
              <w:jc w:val="right"/>
            </w:pPr>
            <w:r>
              <w:rPr>
                <w:rFonts w:ascii="Malgun Gothic" w:hAnsi="Malgun Gothic" w:eastAsia="Malgun Gothic"/>
                <w:b w:val="0"/>
                <w:color w:val="C00000"/>
                <w:sz w:val="15"/>
              </w:rPr>
              <w:t>-3.49%</w:t>
            </w:r>
          </w:p>
        </w:tc>
        <w:tc>
          <w:tcPr>
            <w:tcW w:type="dxa" w:w="1134"/>
            <w:shd w:fill="F6F9FC"/>
            <w:vAlign w:val="center"/>
          </w:tcPr>
          <w:p>
            <w:pPr>
              <w:jc w:val="right"/>
            </w:pPr>
            <w:r>
              <w:rPr>
                <w:rFonts w:ascii="Malgun Gothic" w:hAnsi="Malgun Gothic" w:eastAsia="Malgun Gothic"/>
                <w:b w:val="0"/>
                <w:color w:val="111111"/>
                <w:sz w:val="15"/>
              </w:rPr>
              <w:t>61.6%</w:t>
            </w:r>
          </w:p>
        </w:tc>
      </w:tr>
      <w:tr>
        <w:trPr>
          <w:cantSplit/>
        </w:trPr>
        <w:tc>
          <w:tcPr>
            <w:tcW w:type="dxa" w:w="1984"/>
            <w:vAlign w:val="center"/>
          </w:tcPr>
          <w:p>
            <w:pPr>
              <w:jc w:val="left"/>
            </w:pPr>
            <w:r>
              <w:rPr>
                <w:rFonts w:ascii="Malgun Gothic" w:hAnsi="Malgun Gothic" w:eastAsia="Malgun Gothic"/>
                <w:b/>
                <w:color w:val="111111"/>
                <w:sz w:val="15"/>
              </w:rPr>
              <w:t>기타</w:t>
            </w:r>
          </w:p>
        </w:tc>
        <w:tc>
          <w:tcPr>
            <w:tcW w:type="dxa" w:w="567"/>
            <w:vAlign w:val="center"/>
          </w:tcPr>
          <w:p>
            <w:pPr>
              <w:jc w:val="right"/>
            </w:pPr>
            <w:r>
              <w:rPr>
                <w:rFonts w:ascii="Malgun Gothic" w:hAnsi="Malgun Gothic" w:eastAsia="Malgun Gothic"/>
                <w:b w:val="0"/>
                <w:color w:val="111111"/>
                <w:sz w:val="15"/>
              </w:rPr>
              <w:t>223</w:t>
            </w:r>
          </w:p>
        </w:tc>
        <w:tc>
          <w:tcPr>
            <w:tcW w:type="dxa" w:w="1020"/>
            <w:vAlign w:val="center"/>
          </w:tcPr>
          <w:p>
            <w:pPr>
              <w:jc w:val="right"/>
            </w:pPr>
            <w:r>
              <w:rPr>
                <w:rFonts w:ascii="Malgun Gothic" w:hAnsi="Malgun Gothic" w:eastAsia="Malgun Gothic"/>
                <w:b w:val="0"/>
                <w:color w:val="C00000"/>
                <w:sz w:val="15"/>
              </w:rPr>
              <w:t>-0.88%</w:t>
            </w:r>
          </w:p>
        </w:tc>
        <w:tc>
          <w:tcPr>
            <w:tcW w:type="dxa" w:w="1020"/>
            <w:vAlign w:val="center"/>
          </w:tcPr>
          <w:p>
            <w:pPr>
              <w:jc w:val="right"/>
            </w:pPr>
            <w:r>
              <w:rPr>
                <w:rFonts w:ascii="Malgun Gothic" w:hAnsi="Malgun Gothic" w:eastAsia="Malgun Gothic"/>
                <w:b w:val="0"/>
                <w:color w:val="C00000"/>
                <w:sz w:val="15"/>
              </w:rPr>
              <w:t>-0.69%</w:t>
            </w:r>
          </w:p>
        </w:tc>
        <w:tc>
          <w:tcPr>
            <w:tcW w:type="dxa" w:w="907"/>
            <w:vAlign w:val="center"/>
          </w:tcPr>
          <w:p>
            <w:pPr>
              <w:jc w:val="right"/>
            </w:pPr>
            <w:r>
              <w:rPr>
                <w:rFonts w:ascii="Malgun Gothic" w:hAnsi="Malgun Gothic" w:eastAsia="Malgun Gothic"/>
                <w:b w:val="0"/>
                <w:color w:val="111111"/>
                <w:sz w:val="15"/>
              </w:rPr>
              <w:t>29.6%</w:t>
            </w:r>
          </w:p>
        </w:tc>
        <w:tc>
          <w:tcPr>
            <w:tcW w:type="dxa" w:w="1020"/>
            <w:vAlign w:val="center"/>
          </w:tcPr>
          <w:p>
            <w:pPr>
              <w:jc w:val="right"/>
            </w:pPr>
            <w:r>
              <w:rPr>
                <w:rFonts w:ascii="Malgun Gothic" w:hAnsi="Malgun Gothic" w:eastAsia="Malgun Gothic"/>
                <w:b w:val="0"/>
                <w:color w:val="008000"/>
                <w:sz w:val="15"/>
              </w:rPr>
              <w:t>+1.07%</w:t>
            </w:r>
          </w:p>
        </w:tc>
        <w:tc>
          <w:tcPr>
            <w:tcW w:type="dxa" w:w="1134"/>
            <w:vAlign w:val="center"/>
          </w:tcPr>
          <w:p>
            <w:pPr>
              <w:jc w:val="right"/>
            </w:pPr>
            <w:r>
              <w:rPr>
                <w:rFonts w:ascii="Malgun Gothic" w:hAnsi="Malgun Gothic" w:eastAsia="Malgun Gothic"/>
                <w:b w:val="0"/>
                <w:color w:val="111111"/>
                <w:sz w:val="15"/>
              </w:rPr>
              <w:t>14.5%</w:t>
            </w:r>
          </w:p>
        </w:tc>
      </w:tr>
    </w:tbl>
    <w:p>
      <w:pPr>
        <w:spacing w:after="0"/>
      </w:pPr>
    </w:p>
    <w:p>
      <w:pPr>
        <w:spacing w:before="60" w:after="40"/>
        <w:jc w:val="center"/>
      </w:pPr>
      <w:r>
        <w:drawing>
          <wp:inline xmlns:a="http://schemas.openxmlformats.org/drawingml/2006/main" xmlns:pic="http://schemas.openxmlformats.org/drawingml/2006/picture">
            <wp:extent cx="6400800" cy="3634175"/>
            <wp:docPr id="3" name="Picture 3"/>
            <wp:cNvGraphicFramePr>
              <a:graphicFrameLocks noChangeAspect="1"/>
            </wp:cNvGraphicFramePr>
            <a:graphic>
              <a:graphicData uri="http://schemas.openxmlformats.org/drawingml/2006/picture">
                <pic:pic>
                  <pic:nvPicPr>
                    <pic:cNvPr id="0" name="02_topix_ai_subthemes.png"/>
                    <pic:cNvPicPr/>
                  </pic:nvPicPr>
                  <pic:blipFill>
                    <a:blip r:embed="rId13"/>
                    <a:stretch>
                      <a:fillRect/>
                    </a:stretch>
                  </pic:blipFill>
                  <pic:spPr>
                    <a:xfrm>
                      <a:off x="0" y="0"/>
                      <a:ext cx="6400800" cy="3634175"/>
                    </a:xfrm>
                    <a:prstGeom prst="rect"/>
                  </pic:spPr>
                </pic:pic>
              </a:graphicData>
            </a:graphic>
          </wp:inline>
        </w:drawing>
      </w:r>
    </w:p>
    <w:p>
      <w:pPr>
        <w:spacing w:after="100"/>
        <w:jc w:val="center"/>
      </w:pPr>
      <w:r>
        <w:rPr>
          <w:rFonts w:ascii="Malgun Gothic" w:hAnsi="Malgun Gothic" w:eastAsia="Malgun Gothic"/>
          <w:b w:val="0"/>
          <w:color w:val="666666"/>
          <w:sz w:val="14"/>
        </w:rPr>
        <w:t>그림 3. AI 직접·인접 묶음을 실제 공급망 기능으로 재분해. 분류는 공식 GICS가 아닌 분석용 프록시.</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광·케이블 -4.91%, 전력·냉각장비 -4.25%, 반도체장비·FA -2.49%가 약했다. 반면 국내 전력망·전기공사 +0.23%, 시공·HVAC -0.44%는 상대적으로 방어적이었다.</w:t>
      </w:r>
    </w:p>
    <w:p>
      <w:pPr>
        <w:spacing w:after="80" w:line="269" w:lineRule="auto"/>
      </w:pPr>
      <w:r>
        <w:rPr>
          <w:rFonts w:ascii="Malgun Gothic" w:hAnsi="Malgun Gothic" w:eastAsia="Malgun Gothic"/>
          <w:b/>
          <w:color w:val="9C6500"/>
          <w:sz w:val="18"/>
        </w:rPr>
        <w:t xml:space="preserve">[INFERENCE] </w:t>
      </w:r>
      <w:r>
        <w:rPr>
          <w:rFonts w:ascii="Malgun Gothic" w:hAnsi="Malgun Gothic" w:eastAsia="Malgun Gothic"/>
          <w:b w:val="0"/>
          <w:color w:val="111111"/>
          <w:sz w:val="18"/>
        </w:rPr>
        <w:t>‘일본 AI Capital Goods 전체 붕괴’보다는 해외 AI 투자와 글로벌 금리에 민감한 장비·케이블·FA가 약하고, 일본 국내 건설·전력망 실행주는 버틴 선택적 조정으로 읽는 편이 정확하다.</w:t>
      </w:r>
    </w:p>
    <w:p>
      <w:r>
        <w:br w:type="page"/>
      </w:r>
    </w:p>
    <w:p>
      <w:pPr>
        <w:pStyle w:val="Heading1"/>
        <w:keepNext/>
      </w:pPr>
      <w:r>
        <w:t>시간축: 9월 2일 금리 충격에 하락이 몰렸다</w:t>
      </w:r>
    </w:p>
    <w:p>
      <w:pPr>
        <w:spacing w:before="60" w:after="40"/>
        <w:jc w:val="center"/>
      </w:pPr>
      <w:r>
        <w:drawing>
          <wp:inline xmlns:a="http://schemas.openxmlformats.org/drawingml/2006/main" xmlns:pic="http://schemas.openxmlformats.org/drawingml/2006/picture">
            <wp:extent cx="6446520" cy="3326848"/>
            <wp:docPr id="4" name="Picture 4"/>
            <wp:cNvGraphicFramePr>
              <a:graphicFrameLocks noChangeAspect="1"/>
            </wp:cNvGraphicFramePr>
            <a:graphic>
              <a:graphicData uri="http://schemas.openxmlformats.org/drawingml/2006/picture">
                <pic:pic>
                  <pic:nvPicPr>
                    <pic:cNvPr id="0" name="03_topix_daily_path.png"/>
                    <pic:cNvPicPr/>
                  </pic:nvPicPr>
                  <pic:blipFill>
                    <a:blip r:embed="rId14"/>
                    <a:stretch>
                      <a:fillRect/>
                    </a:stretch>
                  </pic:blipFill>
                  <pic:spPr>
                    <a:xfrm>
                      <a:off x="0" y="0"/>
                      <a:ext cx="6446520" cy="3326848"/>
                    </a:xfrm>
                    <a:prstGeom prst="rect"/>
                  </pic:spPr>
                </pic:pic>
              </a:graphicData>
            </a:graphic>
          </wp:inline>
        </w:drawing>
      </w:r>
    </w:p>
    <w:p>
      <w:pPr>
        <w:spacing w:after="100"/>
        <w:jc w:val="center"/>
      </w:pPr>
      <w:r>
        <w:rPr>
          <w:rFonts w:ascii="Malgun Gothic" w:hAnsi="Malgun Gothic" w:eastAsia="Malgun Gothic"/>
          <w:b w:val="0"/>
          <w:color w:val="666666"/>
          <w:sz w:val="14"/>
        </w:rPr>
        <w:t>그림 4. 8/28=0 기준 그룹별 동일가중 누적수익률. 9/2 하루 AI 광의 -3.54%, 방산 -3.42%, 기타 -2.28%.</w:t>
      </w:r>
    </w:p>
    <w:tbl>
      <w:tblPr>
        <w:tblStyle w:val="TableGrid"/>
        <w:tblW w:type="auto" w:w="0"/>
        <w:jc w:val="center"/>
        <w:tblLayout w:type="fixed"/>
        <w:tblLook w:firstColumn="1" w:firstRow="1" w:lastColumn="0" w:lastRow="0" w:noHBand="0" w:noVBand="1" w:val="04A0"/>
      </w:tblPr>
      <w:tblGrid>
        <w:gridCol w:w="2677"/>
        <w:gridCol w:w="2677"/>
        <w:gridCol w:w="2677"/>
        <w:gridCol w:w="2677"/>
      </w:tblGrid>
      <w:tr>
        <w:trPr>
          <w:tblHeader w:val="true"/>
          <w:cantSplit/>
        </w:trPr>
        <w:tc>
          <w:tcPr>
            <w:tcW w:type="dxa" w:w="1191"/>
            <w:shd w:fill="17365D"/>
            <w:vAlign w:val="center"/>
          </w:tcPr>
          <w:p>
            <w:pPr>
              <w:jc w:val="center"/>
            </w:pPr>
            <w:r>
              <w:rPr>
                <w:rFonts w:ascii="Malgun Gothic" w:hAnsi="Malgun Gothic" w:eastAsia="Malgun Gothic"/>
                <w:b/>
                <w:color w:val="FFFFFF"/>
                <w:sz w:val="14"/>
              </w:rPr>
              <w:t>발표/시장일</w:t>
            </w:r>
          </w:p>
        </w:tc>
        <w:tc>
          <w:tcPr>
            <w:tcW w:type="dxa" w:w="3515"/>
            <w:shd w:fill="17365D"/>
            <w:vAlign w:val="center"/>
          </w:tcPr>
          <w:p>
            <w:pPr>
              <w:jc w:val="center"/>
            </w:pPr>
            <w:r>
              <w:rPr>
                <w:rFonts w:ascii="Malgun Gothic" w:hAnsi="Malgun Gothic" w:eastAsia="Malgun Gothic"/>
                <w:b/>
                <w:color w:val="FFFFFF"/>
                <w:sz w:val="14"/>
              </w:rPr>
              <w:t>관측</w:t>
            </w:r>
          </w:p>
        </w:tc>
        <w:tc>
          <w:tcPr>
            <w:tcW w:type="dxa" w:w="2268"/>
            <w:shd w:fill="17365D"/>
            <w:vAlign w:val="center"/>
          </w:tcPr>
          <w:p>
            <w:pPr>
              <w:jc w:val="center"/>
            </w:pPr>
            <w:r>
              <w:rPr>
                <w:rFonts w:ascii="Malgun Gothic" w:hAnsi="Malgun Gothic" w:eastAsia="Malgun Gothic"/>
                <w:b/>
                <w:color w:val="FFFFFF"/>
                <w:sz w:val="14"/>
              </w:rPr>
              <w:t>AI·DC 주가 경로</w:t>
            </w:r>
          </w:p>
        </w:tc>
        <w:tc>
          <w:tcPr>
            <w:tcW w:type="dxa" w:w="2551"/>
            <w:shd w:fill="17365D"/>
            <w:vAlign w:val="center"/>
          </w:tcPr>
          <w:p>
            <w:pPr>
              <w:jc w:val="center"/>
            </w:pPr>
            <w:r>
              <w:rPr>
                <w:rFonts w:ascii="Malgun Gothic" w:hAnsi="Malgun Gothic" w:eastAsia="Malgun Gothic"/>
                <w:b/>
                <w:color w:val="FFFFFF"/>
                <w:sz w:val="14"/>
              </w:rPr>
              <w:t>판독</w:t>
            </w:r>
          </w:p>
        </w:tc>
      </w:tr>
      <w:tr>
        <w:trPr>
          <w:cantSplit/>
        </w:trPr>
        <w:tc>
          <w:tcPr>
            <w:tcW w:type="dxa" w:w="1191"/>
            <w:vAlign w:val="center"/>
          </w:tcPr>
          <w:p>
            <w:pPr>
              <w:jc w:val="left"/>
            </w:pPr>
            <w:r>
              <w:rPr>
                <w:rFonts w:ascii="Malgun Gothic" w:hAnsi="Malgun Gothic" w:eastAsia="Malgun Gothic"/>
                <w:b/>
                <w:color w:val="111111"/>
                <w:sz w:val="14"/>
              </w:rPr>
              <w:t>8/31</w:t>
            </w:r>
          </w:p>
        </w:tc>
        <w:tc>
          <w:tcPr>
            <w:tcW w:type="dxa" w:w="3515"/>
            <w:vAlign w:val="center"/>
          </w:tcPr>
          <w:p>
            <w:pPr>
              <w:jc w:val="right"/>
            </w:pPr>
            <w:r>
              <w:rPr>
                <w:rFonts w:ascii="Malgun Gothic" w:hAnsi="Malgun Gothic" w:eastAsia="Malgun Gothic"/>
                <w:b w:val="0"/>
                <w:color w:val="111111"/>
                <w:sz w:val="14"/>
              </w:rPr>
              <w:t>7월 산업생산 +0.1% m/m, 예상 -0.6~-0.7%</w:t>
            </w:r>
          </w:p>
        </w:tc>
        <w:tc>
          <w:tcPr>
            <w:tcW w:type="dxa" w:w="2268"/>
            <w:vAlign w:val="center"/>
          </w:tcPr>
          <w:p>
            <w:pPr>
              <w:jc w:val="right"/>
            </w:pPr>
            <w:r>
              <w:rPr>
                <w:rFonts w:ascii="Malgun Gothic" w:hAnsi="Malgun Gothic" w:eastAsia="Malgun Gothic"/>
                <w:b w:val="0"/>
                <w:color w:val="111111"/>
                <w:sz w:val="14"/>
              </w:rPr>
              <w:t>AI 광의 +0.53% 누적</w:t>
            </w:r>
          </w:p>
        </w:tc>
        <w:tc>
          <w:tcPr>
            <w:tcW w:type="dxa" w:w="2551"/>
            <w:vAlign w:val="center"/>
          </w:tcPr>
          <w:p>
            <w:pPr>
              <w:jc w:val="right"/>
            </w:pPr>
            <w:r>
              <w:rPr>
                <w:rFonts w:ascii="Malgun Gothic" w:hAnsi="Malgun Gothic" w:eastAsia="Malgun Gothic"/>
                <w:b w:val="0"/>
                <w:color w:val="111111"/>
                <w:sz w:val="14"/>
              </w:rPr>
              <w:t>실물지표는 악재가 아님</w:t>
            </w:r>
          </w:p>
        </w:tc>
      </w:tr>
      <w:tr>
        <w:trPr>
          <w:cantSplit/>
        </w:trPr>
        <w:tc>
          <w:tcPr>
            <w:tcW w:type="dxa" w:w="1191"/>
            <w:shd w:fill="F6F9FC"/>
            <w:vAlign w:val="center"/>
          </w:tcPr>
          <w:p>
            <w:pPr>
              <w:jc w:val="left"/>
            </w:pPr>
            <w:r>
              <w:rPr>
                <w:rFonts w:ascii="Malgun Gothic" w:hAnsi="Malgun Gothic" w:eastAsia="Malgun Gothic"/>
                <w:b/>
                <w:color w:val="111111"/>
                <w:sz w:val="14"/>
              </w:rPr>
              <w:t>9/1</w:t>
            </w:r>
          </w:p>
        </w:tc>
        <w:tc>
          <w:tcPr>
            <w:tcW w:type="dxa" w:w="3515"/>
            <w:shd w:fill="F6F9FC"/>
            <w:vAlign w:val="center"/>
          </w:tcPr>
          <w:p>
            <w:pPr>
              <w:jc w:val="right"/>
            </w:pPr>
            <w:r>
              <w:rPr>
                <w:rFonts w:ascii="Malgun Gothic" w:hAnsi="Malgun Gothic" w:eastAsia="Malgun Gothic"/>
                <w:b w:val="0"/>
                <w:color w:val="111111"/>
                <w:sz w:val="14"/>
              </w:rPr>
              <w:t>제조업 PMI 54.9; AI·반도체 수요</w:t>
            </w:r>
          </w:p>
        </w:tc>
        <w:tc>
          <w:tcPr>
            <w:tcW w:type="dxa" w:w="2268"/>
            <w:shd w:fill="F6F9FC"/>
            <w:vAlign w:val="center"/>
          </w:tcPr>
          <w:p>
            <w:pPr>
              <w:jc w:val="right"/>
            </w:pPr>
            <w:r>
              <w:rPr>
                <w:rFonts w:ascii="Malgun Gothic" w:hAnsi="Malgun Gothic" w:eastAsia="Malgun Gothic"/>
                <w:b w:val="0"/>
                <w:color w:val="111111"/>
                <w:sz w:val="14"/>
              </w:rPr>
              <w:t>AI 광의 +0.43% 누적</w:t>
            </w:r>
          </w:p>
        </w:tc>
        <w:tc>
          <w:tcPr>
            <w:tcW w:type="dxa" w:w="2551"/>
            <w:shd w:fill="F6F9FC"/>
            <w:vAlign w:val="center"/>
          </w:tcPr>
          <w:p>
            <w:pPr>
              <w:jc w:val="right"/>
            </w:pPr>
            <w:r>
              <w:rPr>
                <w:rFonts w:ascii="Malgun Gothic" w:hAnsi="Malgun Gothic" w:eastAsia="Malgun Gothic"/>
                <w:b w:val="0"/>
                <w:color w:val="111111"/>
                <w:sz w:val="14"/>
              </w:rPr>
              <w:t>수요 신호는 강함</w:t>
            </w:r>
          </w:p>
        </w:tc>
      </w:tr>
      <w:tr>
        <w:trPr>
          <w:cantSplit/>
        </w:trPr>
        <w:tc>
          <w:tcPr>
            <w:tcW w:type="dxa" w:w="1191"/>
            <w:vAlign w:val="center"/>
          </w:tcPr>
          <w:p>
            <w:pPr>
              <w:jc w:val="left"/>
            </w:pPr>
            <w:r>
              <w:rPr>
                <w:rFonts w:ascii="Malgun Gothic" w:hAnsi="Malgun Gothic" w:eastAsia="Malgun Gothic"/>
                <w:b/>
                <w:color w:val="111111"/>
                <w:sz w:val="14"/>
              </w:rPr>
              <w:t>9/2</w:t>
            </w:r>
          </w:p>
        </w:tc>
        <w:tc>
          <w:tcPr>
            <w:tcW w:type="dxa" w:w="3515"/>
            <w:vAlign w:val="center"/>
          </w:tcPr>
          <w:p>
            <w:pPr>
              <w:jc w:val="right"/>
            </w:pPr>
            <w:r>
              <w:rPr>
                <w:rFonts w:ascii="Malgun Gothic" w:hAnsi="Malgun Gothic" w:eastAsia="Malgun Gothic"/>
                <w:b w:val="0"/>
                <w:color w:val="111111"/>
                <w:sz w:val="14"/>
              </w:rPr>
              <w:t>Takata 매파 발언; JGB 10Y 3.015%</w:t>
            </w:r>
          </w:p>
        </w:tc>
        <w:tc>
          <w:tcPr>
            <w:tcW w:type="dxa" w:w="2268"/>
            <w:vAlign w:val="center"/>
          </w:tcPr>
          <w:p>
            <w:pPr>
              <w:jc w:val="right"/>
            </w:pPr>
            <w:r>
              <w:rPr>
                <w:rFonts w:ascii="Malgun Gothic" w:hAnsi="Malgun Gothic" w:eastAsia="Malgun Gothic"/>
                <w:b w:val="0"/>
                <w:color w:val="111111"/>
                <w:sz w:val="14"/>
              </w:rPr>
              <w:t>하루 -3.54%, 누적 -3.13%</w:t>
            </w:r>
          </w:p>
        </w:tc>
        <w:tc>
          <w:tcPr>
            <w:tcW w:type="dxa" w:w="2551"/>
            <w:vAlign w:val="center"/>
          </w:tcPr>
          <w:p>
            <w:pPr>
              <w:jc w:val="right"/>
            </w:pPr>
            <w:r>
              <w:rPr>
                <w:rFonts w:ascii="Malgun Gothic" w:hAnsi="Malgun Gothic" w:eastAsia="Malgun Gothic"/>
                <w:b w:val="0"/>
                <w:color w:val="111111"/>
                <w:sz w:val="14"/>
              </w:rPr>
              <w:t>할인율 충격과 정렬</w:t>
            </w:r>
          </w:p>
        </w:tc>
      </w:tr>
      <w:tr>
        <w:trPr>
          <w:cantSplit/>
        </w:trPr>
        <w:tc>
          <w:tcPr>
            <w:tcW w:type="dxa" w:w="1191"/>
            <w:shd w:fill="F6F9FC"/>
            <w:vAlign w:val="center"/>
          </w:tcPr>
          <w:p>
            <w:pPr>
              <w:jc w:val="left"/>
            </w:pPr>
            <w:r>
              <w:rPr>
                <w:rFonts w:ascii="Malgun Gothic" w:hAnsi="Malgun Gothic" w:eastAsia="Malgun Gothic"/>
                <w:b/>
                <w:color w:val="111111"/>
                <w:sz w:val="14"/>
              </w:rPr>
              <w:t>9/3</w:t>
            </w:r>
          </w:p>
        </w:tc>
        <w:tc>
          <w:tcPr>
            <w:tcW w:type="dxa" w:w="3515"/>
            <w:shd w:fill="F6F9FC"/>
            <w:vAlign w:val="center"/>
          </w:tcPr>
          <w:p>
            <w:pPr>
              <w:jc w:val="right"/>
            </w:pPr>
            <w:r>
              <w:rPr>
                <w:rFonts w:ascii="Malgun Gothic" w:hAnsi="Malgun Gothic" w:eastAsia="Malgun Gothic"/>
                <w:b w:val="0"/>
                <w:color w:val="111111"/>
                <w:sz w:val="14"/>
              </w:rPr>
              <w:t>채권·주식 반등</w:t>
            </w:r>
          </w:p>
        </w:tc>
        <w:tc>
          <w:tcPr>
            <w:tcW w:type="dxa" w:w="2268"/>
            <w:shd w:fill="F6F9FC"/>
            <w:vAlign w:val="center"/>
          </w:tcPr>
          <w:p>
            <w:pPr>
              <w:jc w:val="right"/>
            </w:pPr>
            <w:r>
              <w:rPr>
                <w:rFonts w:ascii="Malgun Gothic" w:hAnsi="Malgun Gothic" w:eastAsia="Malgun Gothic"/>
                <w:b w:val="0"/>
                <w:color w:val="111111"/>
                <w:sz w:val="14"/>
              </w:rPr>
              <w:t>누적 -2.70%</w:t>
            </w:r>
          </w:p>
        </w:tc>
        <w:tc>
          <w:tcPr>
            <w:tcW w:type="dxa" w:w="2551"/>
            <w:shd w:fill="F6F9FC"/>
            <w:vAlign w:val="center"/>
          </w:tcPr>
          <w:p>
            <w:pPr>
              <w:jc w:val="right"/>
            </w:pPr>
            <w:r>
              <w:rPr>
                <w:rFonts w:ascii="Malgun Gothic" w:hAnsi="Malgun Gothic" w:eastAsia="Malgun Gothic"/>
                <w:b w:val="0"/>
                <w:color w:val="111111"/>
                <w:sz w:val="14"/>
              </w:rPr>
              <w:t>부분 회복</w:t>
            </w:r>
          </w:p>
        </w:tc>
      </w:tr>
      <w:tr>
        <w:trPr>
          <w:cantSplit/>
        </w:trPr>
        <w:tc>
          <w:tcPr>
            <w:tcW w:type="dxa" w:w="1191"/>
            <w:vAlign w:val="center"/>
          </w:tcPr>
          <w:p>
            <w:pPr>
              <w:jc w:val="left"/>
            </w:pPr>
            <w:r>
              <w:rPr>
                <w:rFonts w:ascii="Malgun Gothic" w:hAnsi="Malgun Gothic" w:eastAsia="Malgun Gothic"/>
                <w:b/>
                <w:color w:val="111111"/>
                <w:sz w:val="14"/>
              </w:rPr>
              <w:t>9/4</w:t>
            </w:r>
          </w:p>
        </w:tc>
        <w:tc>
          <w:tcPr>
            <w:tcW w:type="dxa" w:w="3515"/>
            <w:vAlign w:val="center"/>
          </w:tcPr>
          <w:p>
            <w:pPr>
              <w:jc w:val="right"/>
            </w:pPr>
            <w:r>
              <w:rPr>
                <w:rFonts w:ascii="Malgun Gothic" w:hAnsi="Malgun Gothic" w:eastAsia="Malgun Gothic"/>
                <w:b w:val="0"/>
                <w:color w:val="111111"/>
                <w:sz w:val="14"/>
              </w:rPr>
              <w:t>금리 안정·기술주 반등</w:t>
            </w:r>
          </w:p>
        </w:tc>
        <w:tc>
          <w:tcPr>
            <w:tcW w:type="dxa" w:w="2268"/>
            <w:vAlign w:val="center"/>
          </w:tcPr>
          <w:p>
            <w:pPr>
              <w:jc w:val="right"/>
            </w:pPr>
            <w:r>
              <w:rPr>
                <w:rFonts w:ascii="Malgun Gothic" w:hAnsi="Malgun Gothic" w:eastAsia="Malgun Gothic"/>
                <w:b w:val="0"/>
                <w:color w:val="111111"/>
                <w:sz w:val="14"/>
              </w:rPr>
              <w:t>누적 -2.05%</w:t>
            </w:r>
          </w:p>
        </w:tc>
        <w:tc>
          <w:tcPr>
            <w:tcW w:type="dxa" w:w="2551"/>
            <w:vAlign w:val="center"/>
          </w:tcPr>
          <w:p>
            <w:pPr>
              <w:jc w:val="right"/>
            </w:pPr>
            <w:r>
              <w:rPr>
                <w:rFonts w:ascii="Malgun Gothic" w:hAnsi="Malgun Gothic" w:eastAsia="Malgun Gothic"/>
                <w:b w:val="0"/>
                <w:color w:val="111111"/>
                <w:sz w:val="14"/>
              </w:rPr>
              <w:t>장비군은 미회복</w:t>
            </w:r>
          </w:p>
        </w:tc>
      </w:tr>
    </w:tbl>
    <w:p>
      <w:pPr>
        <w:spacing w:after="0"/>
      </w:pP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9월 2일 TOPIX는 -2.40%, Prime 시장 종목의 92%가 하락했다. JGB 10년물은 3.015%로 1996년 이후 최고, 2년물은 1.86%로 1995년 이후 최고를 기록했다.</w:t>
      </w:r>
    </w:p>
    <w:p>
      <w:pPr>
        <w:spacing w:after="80" w:line="269" w:lineRule="auto"/>
      </w:pPr>
      <w:r>
        <w:rPr>
          <w:rFonts w:ascii="Malgun Gothic" w:hAnsi="Malgun Gothic" w:eastAsia="Malgun Gothic"/>
          <w:b/>
          <w:color w:val="9C6500"/>
          <w:sz w:val="18"/>
        </w:rPr>
        <w:t xml:space="preserve">[INFERENCE] </w:t>
      </w:r>
      <w:r>
        <w:rPr>
          <w:rFonts w:ascii="Malgun Gothic" w:hAnsi="Malgun Gothic" w:eastAsia="Malgun Gothic"/>
          <w:b w:val="0"/>
          <w:color w:val="111111"/>
          <w:sz w:val="18"/>
        </w:rPr>
        <w:t>폭넓은 시장 하락과 같은 날 AI·방산의 동반 급락은 개별 주문 악화보다 공통 할인율·유가·엔화 요인의 설명력을 높인다.</w:t>
      </w:r>
    </w:p>
    <w:p>
      <w:r>
        <w:br w:type="page"/>
      </w:r>
    </w:p>
    <w:p>
      <w:pPr>
        <w:pStyle w:val="Heading1"/>
        <w:keepNext/>
      </w:pPr>
      <w:r>
        <w:t>산업생산과의 인과관계: 일본도 직접 원인으로 보기 어렵다</w:t>
      </w:r>
    </w:p>
    <w:p>
      <w:pPr>
        <w:pStyle w:val="Heading2"/>
        <w:keepNext/>
      </w:pPr>
      <w:r>
        <w:t>8월 31일 발표된 7월 산업생산</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일본 7월 산업생산은 +0.1% m/m로 4개월 연속 증가했고, 시장 예상(-0.6~-0.7%)을 웃돌았다. 전년 대비는 +4.1%였다.</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생산기계, 화학, 전자부품·디바이스는 증가했고, 반도체 제조장비 수출이 생산기계를 지지했다. 운송장비와 금속제품은 감소했다.</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제조업체 전망은 8월 +6.4%, 9월 -4.2%였고 METI 평가는 '일진일퇴'였다. 헤드라인은 예상보다 강했지만 회복의 폭이 충분히 넓다고 보기도 어렵다.</w:t>
      </w:r>
    </w:p>
    <w:p>
      <w:pPr>
        <w:pStyle w:val="Heading2"/>
        <w:keepNext/>
      </w:pPr>
      <w:r>
        <w:t>수요 측 교차확인</w:t>
      </w:r>
    </w:p>
    <w:tbl>
      <w:tblPr>
        <w:tblStyle w:val="TableGrid"/>
        <w:tblW w:type="auto" w:w="0"/>
        <w:jc w:val="center"/>
        <w:tblLayout w:type="fixed"/>
        <w:tblLook w:firstColumn="1" w:firstRow="1" w:lastColumn="0" w:lastRow="0" w:noHBand="0" w:noVBand="1" w:val="04A0"/>
      </w:tblPr>
      <w:tblGrid>
        <w:gridCol w:w="2677"/>
        <w:gridCol w:w="2677"/>
        <w:gridCol w:w="2677"/>
        <w:gridCol w:w="2677"/>
      </w:tblGrid>
      <w:tr>
        <w:trPr>
          <w:tblHeader w:val="true"/>
          <w:cantSplit/>
        </w:trPr>
        <w:tc>
          <w:tcPr>
            <w:tcW w:type="dxa" w:w="1134"/>
            <w:shd w:fill="17365D"/>
            <w:vAlign w:val="center"/>
          </w:tcPr>
          <w:p>
            <w:pPr>
              <w:jc w:val="center"/>
            </w:pPr>
            <w:r>
              <w:rPr>
                <w:rFonts w:ascii="Malgun Gothic" w:hAnsi="Malgun Gothic" w:eastAsia="Malgun Gothic"/>
                <w:b/>
                <w:color w:val="FFFFFF"/>
                <w:sz w:val="14"/>
              </w:rPr>
              <w:t>발표일</w:t>
            </w:r>
          </w:p>
        </w:tc>
        <w:tc>
          <w:tcPr>
            <w:tcW w:type="dxa" w:w="2381"/>
            <w:shd w:fill="17365D"/>
            <w:vAlign w:val="center"/>
          </w:tcPr>
          <w:p>
            <w:pPr>
              <w:jc w:val="center"/>
            </w:pPr>
            <w:r>
              <w:rPr>
                <w:rFonts w:ascii="Malgun Gothic" w:hAnsi="Malgun Gothic" w:eastAsia="Malgun Gothic"/>
                <w:b/>
                <w:color w:val="FFFFFF"/>
                <w:sz w:val="14"/>
              </w:rPr>
              <w:t>지표</w:t>
            </w:r>
          </w:p>
        </w:tc>
        <w:tc>
          <w:tcPr>
            <w:tcW w:type="dxa" w:w="2835"/>
            <w:shd w:fill="17365D"/>
            <w:vAlign w:val="center"/>
          </w:tcPr>
          <w:p>
            <w:pPr>
              <w:jc w:val="center"/>
            </w:pPr>
            <w:r>
              <w:rPr>
                <w:rFonts w:ascii="Malgun Gothic" w:hAnsi="Malgun Gothic" w:eastAsia="Malgun Gothic"/>
                <w:b/>
                <w:color w:val="FFFFFF"/>
                <w:sz w:val="14"/>
              </w:rPr>
              <w:t>결과</w:t>
            </w:r>
          </w:p>
        </w:tc>
        <w:tc>
          <w:tcPr>
            <w:tcW w:type="dxa" w:w="3175"/>
            <w:shd w:fill="17365D"/>
            <w:vAlign w:val="center"/>
          </w:tcPr>
          <w:p>
            <w:pPr>
              <w:jc w:val="center"/>
            </w:pPr>
            <w:r>
              <w:rPr>
                <w:rFonts w:ascii="Malgun Gothic" w:hAnsi="Malgun Gothic" w:eastAsia="Malgun Gothic"/>
                <w:b/>
                <w:color w:val="FFFFFF"/>
                <w:sz w:val="14"/>
              </w:rPr>
              <w:t>AI·설비투자 해석</w:t>
            </w:r>
          </w:p>
        </w:tc>
      </w:tr>
      <w:tr>
        <w:trPr>
          <w:cantSplit/>
        </w:trPr>
        <w:tc>
          <w:tcPr>
            <w:tcW w:type="dxa" w:w="1134"/>
            <w:vAlign w:val="center"/>
          </w:tcPr>
          <w:p>
            <w:pPr>
              <w:jc w:val="left"/>
            </w:pPr>
            <w:r>
              <w:rPr>
                <w:rFonts w:ascii="Malgun Gothic" w:hAnsi="Malgun Gothic" w:eastAsia="Malgun Gothic"/>
                <w:b/>
                <w:color w:val="111111"/>
                <w:sz w:val="14"/>
              </w:rPr>
              <w:t>8/19</w:t>
            </w:r>
          </w:p>
        </w:tc>
        <w:tc>
          <w:tcPr>
            <w:tcW w:type="dxa" w:w="2381"/>
            <w:vAlign w:val="center"/>
          </w:tcPr>
          <w:p>
            <w:pPr>
              <w:jc w:val="right"/>
            </w:pPr>
            <w:r>
              <w:rPr>
                <w:rFonts w:ascii="Malgun Gothic" w:hAnsi="Malgun Gothic" w:eastAsia="Malgun Gothic"/>
                <w:b w:val="0"/>
                <w:color w:val="111111"/>
                <w:sz w:val="14"/>
              </w:rPr>
              <w:t>6월 핵심 기계수주</w:t>
            </w:r>
          </w:p>
        </w:tc>
        <w:tc>
          <w:tcPr>
            <w:tcW w:type="dxa" w:w="2835"/>
            <w:vAlign w:val="center"/>
          </w:tcPr>
          <w:p>
            <w:pPr>
              <w:jc w:val="right"/>
            </w:pPr>
            <w:r>
              <w:rPr>
                <w:rFonts w:ascii="Malgun Gothic" w:hAnsi="Malgun Gothic" w:eastAsia="Malgun Gothic"/>
                <w:b w:val="0"/>
                <w:color w:val="008000"/>
                <w:sz w:val="14"/>
              </w:rPr>
              <w:t>+9.7% m/m; 3Q 전망 +4.9%</w:t>
            </w:r>
          </w:p>
        </w:tc>
        <w:tc>
          <w:tcPr>
            <w:tcW w:type="dxa" w:w="3175"/>
            <w:vAlign w:val="center"/>
          </w:tcPr>
          <w:p>
            <w:pPr>
              <w:jc w:val="right"/>
            </w:pPr>
            <w:r>
              <w:rPr>
                <w:rFonts w:ascii="Malgun Gothic" w:hAnsi="Malgun Gothic" w:eastAsia="Malgun Gothic"/>
                <w:b w:val="0"/>
                <w:color w:val="111111"/>
                <w:sz w:val="14"/>
              </w:rPr>
              <w:t>설비투자 파이프라인 개선</w:t>
            </w:r>
          </w:p>
        </w:tc>
      </w:tr>
      <w:tr>
        <w:trPr>
          <w:cantSplit/>
        </w:trPr>
        <w:tc>
          <w:tcPr>
            <w:tcW w:type="dxa" w:w="1134"/>
            <w:shd w:fill="F6F9FC"/>
            <w:vAlign w:val="center"/>
          </w:tcPr>
          <w:p>
            <w:pPr>
              <w:jc w:val="left"/>
            </w:pPr>
            <w:r>
              <w:rPr>
                <w:rFonts w:ascii="Malgun Gothic" w:hAnsi="Malgun Gothic" w:eastAsia="Malgun Gothic"/>
                <w:b/>
                <w:color w:val="111111"/>
                <w:sz w:val="14"/>
              </w:rPr>
              <w:t>8/27</w:t>
            </w:r>
          </w:p>
        </w:tc>
        <w:tc>
          <w:tcPr>
            <w:tcW w:type="dxa" w:w="2381"/>
            <w:shd w:fill="F6F9FC"/>
            <w:vAlign w:val="center"/>
          </w:tcPr>
          <w:p>
            <w:pPr>
              <w:jc w:val="right"/>
            </w:pPr>
            <w:r>
              <w:rPr>
                <w:rFonts w:ascii="Malgun Gothic" w:hAnsi="Malgun Gothic" w:eastAsia="Malgun Gothic"/>
                <w:b w:val="0"/>
                <w:color w:val="111111"/>
                <w:sz w:val="14"/>
              </w:rPr>
              <w:t>BOJ Himino 연설</w:t>
            </w:r>
          </w:p>
        </w:tc>
        <w:tc>
          <w:tcPr>
            <w:tcW w:type="dxa" w:w="2835"/>
            <w:shd w:fill="F6F9FC"/>
            <w:vAlign w:val="center"/>
          </w:tcPr>
          <w:p>
            <w:pPr>
              <w:jc w:val="right"/>
            </w:pPr>
            <w:r>
              <w:rPr>
                <w:rFonts w:ascii="Malgun Gothic" w:hAnsi="Malgun Gothic" w:eastAsia="Malgun Gothic"/>
                <w:b w:val="0"/>
                <w:color w:val="111111"/>
                <w:sz w:val="14"/>
              </w:rPr>
              <w:t>미국 IT투자 $1.7tn; hyperscaler $0.8tn</w:t>
            </w:r>
          </w:p>
        </w:tc>
        <w:tc>
          <w:tcPr>
            <w:tcW w:type="dxa" w:w="3175"/>
            <w:shd w:fill="F6F9FC"/>
            <w:vAlign w:val="center"/>
          </w:tcPr>
          <w:p>
            <w:pPr>
              <w:jc w:val="right"/>
            </w:pPr>
            <w:r>
              <w:rPr>
                <w:rFonts w:ascii="Malgun Gothic" w:hAnsi="Malgun Gothic" w:eastAsia="Malgun Gothic"/>
                <w:b w:val="0"/>
                <w:color w:val="111111"/>
                <w:sz w:val="14"/>
              </w:rPr>
              <w:t>일본 반도체장비·부품 파급 인정</w:t>
            </w:r>
          </w:p>
        </w:tc>
      </w:tr>
      <w:tr>
        <w:trPr>
          <w:cantSplit/>
        </w:trPr>
        <w:tc>
          <w:tcPr>
            <w:tcW w:type="dxa" w:w="1134"/>
            <w:vAlign w:val="center"/>
          </w:tcPr>
          <w:p>
            <w:pPr>
              <w:jc w:val="left"/>
            </w:pPr>
            <w:r>
              <w:rPr>
                <w:rFonts w:ascii="Malgun Gothic" w:hAnsi="Malgun Gothic" w:eastAsia="Malgun Gothic"/>
                <w:b/>
                <w:color w:val="111111"/>
                <w:sz w:val="14"/>
              </w:rPr>
              <w:t>8/31</w:t>
            </w:r>
          </w:p>
        </w:tc>
        <w:tc>
          <w:tcPr>
            <w:tcW w:type="dxa" w:w="2381"/>
            <w:vAlign w:val="center"/>
          </w:tcPr>
          <w:p>
            <w:pPr>
              <w:jc w:val="right"/>
            </w:pPr>
            <w:r>
              <w:rPr>
                <w:rFonts w:ascii="Malgun Gothic" w:hAnsi="Malgun Gothic" w:eastAsia="Malgun Gothic"/>
                <w:b w:val="0"/>
                <w:color w:val="111111"/>
                <w:sz w:val="14"/>
              </w:rPr>
              <w:t>7월 산업생산</w:t>
            </w:r>
          </w:p>
        </w:tc>
        <w:tc>
          <w:tcPr>
            <w:tcW w:type="dxa" w:w="2835"/>
            <w:vAlign w:val="center"/>
          </w:tcPr>
          <w:p>
            <w:pPr>
              <w:jc w:val="right"/>
            </w:pPr>
            <w:r>
              <w:rPr>
                <w:rFonts w:ascii="Malgun Gothic" w:hAnsi="Malgun Gothic" w:eastAsia="Malgun Gothic"/>
                <w:b w:val="0"/>
                <w:color w:val="008000"/>
                <w:sz w:val="14"/>
              </w:rPr>
              <w:t>+0.1% m/m vs 예상 감소</w:t>
            </w:r>
          </w:p>
        </w:tc>
        <w:tc>
          <w:tcPr>
            <w:tcW w:type="dxa" w:w="3175"/>
            <w:vAlign w:val="center"/>
          </w:tcPr>
          <w:p>
            <w:pPr>
              <w:jc w:val="right"/>
            </w:pPr>
            <w:r>
              <w:rPr>
                <w:rFonts w:ascii="Malgun Gothic" w:hAnsi="Malgun Gothic" w:eastAsia="Malgun Gothic"/>
                <w:b w:val="0"/>
                <w:color w:val="111111"/>
                <w:sz w:val="14"/>
              </w:rPr>
              <w:t>반도체장비가 생산기계 지지</w:t>
            </w:r>
          </w:p>
        </w:tc>
      </w:tr>
      <w:tr>
        <w:trPr>
          <w:cantSplit/>
        </w:trPr>
        <w:tc>
          <w:tcPr>
            <w:tcW w:type="dxa" w:w="1134"/>
            <w:shd w:fill="F6F9FC"/>
            <w:vAlign w:val="center"/>
          </w:tcPr>
          <w:p>
            <w:pPr>
              <w:jc w:val="left"/>
            </w:pPr>
            <w:r>
              <w:rPr>
                <w:rFonts w:ascii="Malgun Gothic" w:hAnsi="Malgun Gothic" w:eastAsia="Malgun Gothic"/>
                <w:b/>
                <w:color w:val="111111"/>
                <w:sz w:val="14"/>
              </w:rPr>
              <w:t>9/1</w:t>
            </w:r>
          </w:p>
        </w:tc>
        <w:tc>
          <w:tcPr>
            <w:tcW w:type="dxa" w:w="2381"/>
            <w:shd w:fill="F6F9FC"/>
            <w:vAlign w:val="center"/>
          </w:tcPr>
          <w:p>
            <w:pPr>
              <w:jc w:val="right"/>
            </w:pPr>
            <w:r>
              <w:rPr>
                <w:rFonts w:ascii="Malgun Gothic" w:hAnsi="Malgun Gothic" w:eastAsia="Malgun Gothic"/>
                <w:b w:val="0"/>
                <w:color w:val="111111"/>
                <w:sz w:val="14"/>
              </w:rPr>
              <w:t>8월 제조업 PMI</w:t>
            </w:r>
          </w:p>
        </w:tc>
        <w:tc>
          <w:tcPr>
            <w:tcW w:type="dxa" w:w="2835"/>
            <w:shd w:fill="F6F9FC"/>
            <w:vAlign w:val="center"/>
          </w:tcPr>
          <w:p>
            <w:pPr>
              <w:jc w:val="right"/>
            </w:pPr>
            <w:r>
              <w:rPr>
                <w:rFonts w:ascii="Malgun Gothic" w:hAnsi="Malgun Gothic" w:eastAsia="Malgun Gothic"/>
                <w:b w:val="0"/>
                <w:color w:val="111111"/>
                <w:sz w:val="14"/>
              </w:rPr>
              <w:t>54.9; 신규주문 2018년 이후 최고</w:t>
            </w:r>
          </w:p>
        </w:tc>
        <w:tc>
          <w:tcPr>
            <w:tcW w:type="dxa" w:w="3175"/>
            <w:shd w:fill="F6F9FC"/>
            <w:vAlign w:val="center"/>
          </w:tcPr>
          <w:p>
            <w:pPr>
              <w:jc w:val="right"/>
            </w:pPr>
            <w:r>
              <w:rPr>
                <w:rFonts w:ascii="Malgun Gothic" w:hAnsi="Malgun Gothic" w:eastAsia="Malgun Gothic"/>
                <w:b w:val="0"/>
                <w:color w:val="111111"/>
                <w:sz w:val="14"/>
              </w:rPr>
              <w:t>AI·반도체 수요가 명시적 동력</w:t>
            </w:r>
          </w:p>
        </w:tc>
      </w:tr>
      <w:tr>
        <w:trPr>
          <w:cantSplit/>
        </w:trPr>
        <w:tc>
          <w:tcPr>
            <w:tcW w:type="dxa" w:w="1134"/>
            <w:vAlign w:val="center"/>
          </w:tcPr>
          <w:p>
            <w:pPr>
              <w:jc w:val="left"/>
            </w:pPr>
            <w:r>
              <w:rPr>
                <w:rFonts w:ascii="Malgun Gothic" w:hAnsi="Malgun Gothic" w:eastAsia="Malgun Gothic"/>
                <w:b/>
                <w:color w:val="111111"/>
                <w:sz w:val="14"/>
              </w:rPr>
              <w:t>9/1</w:t>
            </w:r>
          </w:p>
        </w:tc>
        <w:tc>
          <w:tcPr>
            <w:tcW w:type="dxa" w:w="2381"/>
            <w:vAlign w:val="center"/>
          </w:tcPr>
          <w:p>
            <w:pPr>
              <w:jc w:val="right"/>
            </w:pPr>
            <w:r>
              <w:rPr>
                <w:rFonts w:ascii="Malgun Gothic" w:hAnsi="Malgun Gothic" w:eastAsia="Malgun Gothic"/>
                <w:b w:val="0"/>
                <w:color w:val="111111"/>
                <w:sz w:val="14"/>
              </w:rPr>
              <w:t>2Q 법인 설비투자</w:t>
            </w:r>
          </w:p>
        </w:tc>
        <w:tc>
          <w:tcPr>
            <w:tcW w:type="dxa" w:w="2835"/>
            <w:vAlign w:val="center"/>
          </w:tcPr>
          <w:p>
            <w:pPr>
              <w:jc w:val="right"/>
            </w:pPr>
            <w:r>
              <w:rPr>
                <w:rFonts w:ascii="Malgun Gothic" w:hAnsi="Malgun Gothic" w:eastAsia="Malgun Gothic"/>
                <w:b w:val="0"/>
                <w:color w:val="008000"/>
                <w:sz w:val="14"/>
              </w:rPr>
              <w:t>+1.6% y/y; ex-SW +2.9% q/q</w:t>
            </w:r>
          </w:p>
        </w:tc>
        <w:tc>
          <w:tcPr>
            <w:tcW w:type="dxa" w:w="3175"/>
            <w:vAlign w:val="center"/>
          </w:tcPr>
          <w:p>
            <w:pPr>
              <w:jc w:val="right"/>
            </w:pPr>
            <w:r>
              <w:rPr>
                <w:rFonts w:ascii="Malgun Gothic" w:hAnsi="Malgun Gothic" w:eastAsia="Malgun Gothic"/>
                <w:b w:val="0"/>
                <w:color w:val="111111"/>
                <w:sz w:val="14"/>
              </w:rPr>
              <w:t>예상(-0.3%) 상회</w:t>
            </w:r>
          </w:p>
        </w:tc>
      </w:tr>
    </w:tbl>
    <w:p>
      <w:pPr>
        <w:spacing w:after="0"/>
      </w:pPr>
    </w:p>
    <w:p>
      <w:pPr>
        <w:spacing w:after="80" w:line="269" w:lineRule="auto"/>
      </w:pPr>
      <w:r>
        <w:rPr>
          <w:rFonts w:ascii="Malgun Gothic" w:hAnsi="Malgun Gothic" w:eastAsia="Malgun Gothic"/>
          <w:b/>
          <w:color w:val="9C6500"/>
          <w:sz w:val="18"/>
        </w:rPr>
        <w:t xml:space="preserve">[INFERENCE] </w:t>
      </w:r>
      <w:r>
        <w:rPr>
          <w:rFonts w:ascii="Malgun Gothic" w:hAnsi="Malgun Gothic" w:eastAsia="Malgun Gothic"/>
          <w:b w:val="0"/>
          <w:color w:val="111111"/>
          <w:sz w:val="18"/>
        </w:rPr>
        <w:t>산업생산이 약해서 AI 자본재가 하락했다면, 예상 상회한 산업생산·강한 PMI·기계수주와 설명이 충돌한다. 실물 흐름은 'AI 강세, 비AI 혼재'에 가깝다.</w:t>
      </w:r>
    </w:p>
    <w:p>
      <w:pPr>
        <w:spacing w:after="80" w:line="269" w:lineRule="auto"/>
      </w:pPr>
      <w:r>
        <w:rPr>
          <w:rFonts w:ascii="Malgun Gothic" w:hAnsi="Malgun Gothic" w:eastAsia="Malgun Gothic"/>
          <w:b/>
          <w:color w:val="9C6500"/>
          <w:sz w:val="18"/>
        </w:rPr>
        <w:t xml:space="preserve">[INFERENCE] </w:t>
      </w:r>
      <w:r>
        <w:rPr>
          <w:rFonts w:ascii="Malgun Gothic" w:hAnsi="Malgun Gothic" w:eastAsia="Malgun Gothic"/>
          <w:b w:val="0"/>
          <w:color w:val="111111"/>
          <w:sz w:val="18"/>
        </w:rPr>
        <w:t>역설적으로 AI 수요가 성장·물가 전망을 지지하면 BOJ 정상화 기대와 장기금리를 높여 AI주 멀티플을 압박할 수 있다. 펀더멘털 호재와 단기 주가 악재가 동시에 성립한다.</w:t>
      </w:r>
    </w:p>
    <w:p>
      <w:pPr>
        <w:spacing w:after="80" w:line="269" w:lineRule="auto"/>
      </w:pPr>
      <w:r>
        <w:rPr>
          <w:rFonts w:ascii="Malgun Gothic" w:hAnsi="Malgun Gothic" w:eastAsia="Malgun Gothic"/>
          <w:b/>
          <w:color w:val="C00000"/>
          <w:sz w:val="18"/>
        </w:rPr>
        <w:t xml:space="preserve">[SPECULATION] </w:t>
      </w:r>
      <w:r>
        <w:rPr>
          <w:rFonts w:ascii="Malgun Gothic" w:hAnsi="Malgun Gothic" w:eastAsia="Malgun Gothic"/>
          <w:b w:val="0"/>
          <w:color w:val="111111"/>
          <w:sz w:val="18"/>
        </w:rPr>
        <w:t>광케이블·전력장비·FA의 9/4 미회복에는 포지셔닝·고밸류 부담이나 해외 기술주 조정이 추가로 작용했을 수 있다. 5일 이벤트 정렬만으로 개별 팩터를 완전히 분리할 수는 없다.</w:t>
      </w:r>
    </w:p>
    <w:p>
      <w:r>
        <w:br w:type="page"/>
      </w:r>
    </w:p>
    <w:p>
      <w:pPr>
        <w:pStyle w:val="Heading1"/>
        <w:keepNext/>
      </w:pPr>
      <w:r>
        <w:t>유럽 재확인: 같은 방향, 다른 하드데이터 시점</w:t>
      </w:r>
    </w:p>
    <w:p>
      <w:pPr>
        <w:spacing w:before="60" w:after="40"/>
        <w:jc w:val="center"/>
      </w:pPr>
      <w:r>
        <w:drawing>
          <wp:inline xmlns:a="http://schemas.openxmlformats.org/drawingml/2006/main" xmlns:pic="http://schemas.openxmlformats.org/drawingml/2006/picture">
            <wp:extent cx="6355080" cy="3338247"/>
            <wp:docPr id="5" name="Picture 5"/>
            <wp:cNvGraphicFramePr>
              <a:graphicFrameLocks noChangeAspect="1"/>
            </wp:cNvGraphicFramePr>
            <a:graphic>
              <a:graphicData uri="http://schemas.openxmlformats.org/drawingml/2006/picture">
                <pic:pic>
                  <pic:nvPicPr>
                    <pic:cNvPr id="0" name="01_group_returns.png"/>
                    <pic:cNvPicPr/>
                  </pic:nvPicPr>
                  <pic:blipFill>
                    <a:blip r:embed="rId15"/>
                    <a:stretch>
                      <a:fillRect/>
                    </a:stretch>
                  </pic:blipFill>
                  <pic:spPr>
                    <a:xfrm>
                      <a:off x="0" y="0"/>
                      <a:ext cx="6355080" cy="3338247"/>
                    </a:xfrm>
                    <a:prstGeom prst="rect"/>
                  </pic:spPr>
                </pic:pic>
              </a:graphicData>
            </a:graphic>
          </wp:inline>
        </w:drawing>
      </w:r>
    </w:p>
    <w:p>
      <w:pPr>
        <w:spacing w:after="100"/>
        <w:jc w:val="center"/>
      </w:pPr>
      <w:r>
        <w:rPr>
          <w:rFonts w:ascii="Malgun Gothic" w:hAnsi="Malgun Gothic" w:eastAsia="Malgun Gothic"/>
          <w:b w:val="0"/>
          <w:color w:val="666666"/>
          <w:sz w:val="14"/>
        </w:rPr>
        <w:t>그림 5. STOXX Europe 600 Capital Goods 그룹별 동일·시총가중 5D 수익률.</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유럽 Capital Goods 100개는 -1.99%, 방산 12개 -6.41%, AI·데이터센터 광의 15개 -2.39%, 기타 73개 -1.18%였다.</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AI 광의는 STOXX600 전체(-0.9%)보다 1.4%p, Industrials(-1.9%)보다 0.5%p 약했다. 시총가중 하락의 43.1%를 AI 광의가 설명했다.</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독일 7월 산업생산(-1.1% m/m, 자본재 -3.4%)은 9월 7일 발표돼 9월 4일에 끝난 가격 구간의 직접 촉매가 될 수 없다. 당시 확인 가능했던 유로존 6월 자본재 생산은 -1.4%로 기저는 약했다.</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반대로 9월 1일 독일 제조업 PMI는 54.3으로 상승했고, 기업들은 방산 지출·데이터센터 건설·재고 축적을 수요 동력으로 언급했다.</w:t>
      </w:r>
    </w:p>
    <w:p>
      <w:pPr>
        <w:spacing w:after="80" w:line="269" w:lineRule="auto"/>
      </w:pPr>
      <w:r>
        <w:rPr>
          <w:rFonts w:ascii="Malgun Gothic" w:hAnsi="Malgun Gothic" w:eastAsia="Malgun Gothic"/>
          <w:b/>
          <w:color w:val="9C6500"/>
          <w:sz w:val="18"/>
        </w:rPr>
        <w:t xml:space="preserve">[INFERENCE] </w:t>
      </w:r>
      <w:r>
        <w:rPr>
          <w:rFonts w:ascii="Malgun Gothic" w:hAnsi="Malgun Gothic" w:eastAsia="Malgun Gothic"/>
          <w:b w:val="0"/>
          <w:color w:val="111111"/>
          <w:sz w:val="18"/>
        </w:rPr>
        <w:t>유럽도 산업생산은 중기 배경이지만 단기 촉매는 아니다. 8/31~9/2 유가·인플레이션·독일 장기금리 상승과 AI 대형주 하락의 시간 정렬이 더 강하다.</w:t>
      </w:r>
    </w:p>
    <w:tbl>
      <w:tblPr>
        <w:tblW w:type="auto" w:w="0"/>
        <w:jc w:val="center"/>
        <w:tblLayout w:type="fixed"/>
        <w:tblLook w:firstColumn="1" w:firstRow="1" w:lastColumn="0" w:lastRow="0" w:noHBand="0" w:noVBand="1" w:val="04A0"/>
      </w:tblPr>
      <w:tblGrid>
        <w:gridCol w:w="10710"/>
      </w:tblGrid>
      <w:tr>
        <w:tc>
          <w:tcPr>
            <w:tcW w:type="dxa" w:w="10261"/>
            <w:shd w:fill="FFF2CC"/>
            <w:vAlign w:val="center"/>
          </w:tcPr>
          <w:p>
            <w:pPr>
              <w:spacing w:before="100" w:after="100"/>
              <w:ind w:left="68"/>
            </w:pPr>
            <w:r>
              <w:rPr>
                <w:rFonts w:ascii="Malgun Gothic" w:hAnsi="Malgun Gothic" w:eastAsia="Malgun Gothic"/>
                <w:b/>
                <w:color w:val="9C6500"/>
                <w:sz w:val="19"/>
              </w:rPr>
              <w:t xml:space="preserve">공통점과 차이  </w:t>
            </w:r>
            <w:r>
              <w:rPr>
                <w:rFonts w:ascii="Malgun Gothic" w:hAnsi="Malgun Gothic" w:eastAsia="Malgun Gothic"/>
                <w:b w:val="0"/>
                <w:color w:val="111111"/>
                <w:sz w:val="19"/>
              </w:rPr>
              <w:t>공통점은 방산의 큰 개별 낙폭과 AI 대형주의 높은 손실 기여다. 차이는 일본의 당일 충격이 9/2 JGB 급등에 더 선명하게 집중됐고, 국내 전력망·시공주는 회복한 반면 케이블·전력/냉각·semicap/FA만 약세를 남겼다는 점이다.</w:t>
            </w:r>
          </w:p>
        </w:tc>
      </w:tr>
    </w:tbl>
    <w:p>
      <w:pPr>
        <w:spacing w:after="0"/>
      </w:pPr>
    </w:p>
    <w:p>
      <w:r>
        <w:br w:type="page"/>
      </w:r>
    </w:p>
    <w:p>
      <w:pPr>
        <w:pStyle w:val="Heading1"/>
        <w:keepNext/>
      </w:pPr>
      <w:r>
        <w:t>TOPIX 손실 기여 종목</w:t>
      </w:r>
    </w:p>
    <w:p>
      <w:pPr>
        <w:spacing w:before="60" w:after="40"/>
        <w:jc w:val="center"/>
      </w:pPr>
      <w:r>
        <w:drawing>
          <wp:inline xmlns:a="http://schemas.openxmlformats.org/drawingml/2006/main" xmlns:pic="http://schemas.openxmlformats.org/drawingml/2006/picture">
            <wp:extent cx="6309360" cy="3855556"/>
            <wp:docPr id="6" name="Picture 6"/>
            <wp:cNvGraphicFramePr>
              <a:graphicFrameLocks noChangeAspect="1"/>
            </wp:cNvGraphicFramePr>
            <a:graphic>
              <a:graphicData uri="http://schemas.openxmlformats.org/drawingml/2006/picture">
                <pic:pic>
                  <pic:nvPicPr>
                    <pic:cNvPr id="0" name="05_topix_downside_contributors.png"/>
                    <pic:cNvPicPr/>
                  </pic:nvPicPr>
                  <pic:blipFill>
                    <a:blip r:embed="rId16"/>
                    <a:stretch>
                      <a:fillRect/>
                    </a:stretch>
                  </pic:blipFill>
                  <pic:spPr>
                    <a:xfrm>
                      <a:off x="0" y="0"/>
                      <a:ext cx="6309360" cy="3855556"/>
                    </a:xfrm>
                    <a:prstGeom prst="rect"/>
                  </pic:spPr>
                </pic:pic>
              </a:graphicData>
            </a:graphic>
          </wp:inline>
        </w:drawing>
      </w:r>
    </w:p>
    <w:p>
      <w:pPr>
        <w:spacing w:after="100"/>
        <w:jc w:val="center"/>
      </w:pPr>
      <w:r>
        <w:rPr>
          <w:rFonts w:ascii="Malgun Gothic" w:hAnsi="Malgun Gothic" w:eastAsia="Malgun Gothic"/>
          <w:b w:val="0"/>
          <w:color w:val="666666"/>
          <w:sz w:val="14"/>
        </w:rPr>
        <w:t>그림 6. 현재 Capital Goods 내 시작 시가총액×수익률의 진단 기여. 공식 TOPIX 기여도와는 다름.</w:t>
      </w:r>
    </w:p>
    <w:tbl>
      <w:tblPr>
        <w:tblStyle w:val="TableGrid"/>
        <w:tblW w:type="auto" w:w="0"/>
        <w:jc w:val="center"/>
        <w:tblLayout w:type="fixed"/>
        <w:tblLook w:firstColumn="1" w:firstRow="1" w:lastColumn="0" w:lastRow="0" w:noHBand="0" w:noVBand="1" w:val="04A0"/>
      </w:tblPr>
      <w:tblGrid>
        <w:gridCol w:w="2142"/>
        <w:gridCol w:w="2142"/>
        <w:gridCol w:w="2142"/>
        <w:gridCol w:w="2142"/>
        <w:gridCol w:w="2142"/>
      </w:tblGrid>
      <w:tr>
        <w:trPr>
          <w:tblHeader w:val="true"/>
          <w:cantSplit/>
        </w:trPr>
        <w:tc>
          <w:tcPr>
            <w:tcW w:type="dxa" w:w="3175"/>
            <w:shd w:fill="17365D"/>
            <w:vAlign w:val="center"/>
          </w:tcPr>
          <w:p>
            <w:pPr>
              <w:jc w:val="center"/>
            </w:pPr>
            <w:r>
              <w:rPr>
                <w:rFonts w:ascii="Malgun Gothic" w:hAnsi="Malgun Gothic" w:eastAsia="Malgun Gothic"/>
                <w:b/>
                <w:color w:val="FFFFFF"/>
                <w:sz w:val="15"/>
              </w:rPr>
              <w:t>종목</w:t>
            </w:r>
          </w:p>
        </w:tc>
        <w:tc>
          <w:tcPr>
            <w:tcW w:type="dxa" w:w="1020"/>
            <w:shd w:fill="17365D"/>
            <w:vAlign w:val="center"/>
          </w:tcPr>
          <w:p>
            <w:pPr>
              <w:jc w:val="center"/>
            </w:pPr>
            <w:r>
              <w:rPr>
                <w:rFonts w:ascii="Malgun Gothic" w:hAnsi="Malgun Gothic" w:eastAsia="Malgun Gothic"/>
                <w:b/>
                <w:color w:val="FFFFFF"/>
                <w:sz w:val="15"/>
              </w:rPr>
              <w:t>코드</w:t>
            </w:r>
          </w:p>
        </w:tc>
        <w:tc>
          <w:tcPr>
            <w:tcW w:type="dxa" w:w="1247"/>
            <w:shd w:fill="17365D"/>
            <w:vAlign w:val="center"/>
          </w:tcPr>
          <w:p>
            <w:pPr>
              <w:jc w:val="center"/>
            </w:pPr>
            <w:r>
              <w:rPr>
                <w:rFonts w:ascii="Malgun Gothic" w:hAnsi="Malgun Gothic" w:eastAsia="Malgun Gothic"/>
                <w:b/>
                <w:color w:val="FFFFFF"/>
                <w:sz w:val="15"/>
              </w:rPr>
              <w:t>분류</w:t>
            </w:r>
          </w:p>
        </w:tc>
        <w:tc>
          <w:tcPr>
            <w:tcW w:type="dxa" w:w="1247"/>
            <w:shd w:fill="17365D"/>
            <w:vAlign w:val="center"/>
          </w:tcPr>
          <w:p>
            <w:pPr>
              <w:jc w:val="center"/>
            </w:pPr>
            <w:r>
              <w:rPr>
                <w:rFonts w:ascii="Malgun Gothic" w:hAnsi="Malgun Gothic" w:eastAsia="Malgun Gothic"/>
                <w:b/>
                <w:color w:val="FFFFFF"/>
                <w:sz w:val="15"/>
              </w:rPr>
              <w:t>5D</w:t>
            </w:r>
          </w:p>
        </w:tc>
        <w:tc>
          <w:tcPr>
            <w:tcW w:type="dxa" w:w="1417"/>
            <w:shd w:fill="17365D"/>
            <w:vAlign w:val="center"/>
          </w:tcPr>
          <w:p>
            <w:pPr>
              <w:jc w:val="center"/>
            </w:pPr>
            <w:r>
              <w:rPr>
                <w:rFonts w:ascii="Malgun Gothic" w:hAnsi="Malgun Gothic" w:eastAsia="Malgun Gothic"/>
                <w:b/>
                <w:color w:val="FFFFFF"/>
                <w:sz w:val="15"/>
              </w:rPr>
              <w:t>CG 기여</w:t>
            </w:r>
          </w:p>
        </w:tc>
      </w:tr>
      <w:tr>
        <w:trPr>
          <w:cantSplit/>
        </w:trPr>
        <w:tc>
          <w:tcPr>
            <w:tcW w:type="dxa" w:w="3175"/>
            <w:vAlign w:val="center"/>
          </w:tcPr>
          <w:p>
            <w:pPr>
              <w:jc w:val="left"/>
            </w:pPr>
            <w:r>
              <w:rPr>
                <w:rFonts w:ascii="Malgun Gothic" w:hAnsi="Malgun Gothic" w:eastAsia="Malgun Gothic"/>
                <w:b/>
                <w:color w:val="111111"/>
                <w:sz w:val="15"/>
              </w:rPr>
              <w:t>Mitsubishi Heavy Industries Lt</w:t>
            </w:r>
          </w:p>
        </w:tc>
        <w:tc>
          <w:tcPr>
            <w:tcW w:type="dxa" w:w="1020"/>
            <w:vAlign w:val="center"/>
          </w:tcPr>
          <w:p>
            <w:pPr>
              <w:jc w:val="right"/>
            </w:pPr>
            <w:r>
              <w:rPr>
                <w:rFonts w:ascii="Malgun Gothic" w:hAnsi="Malgun Gothic" w:eastAsia="Malgun Gothic"/>
                <w:b w:val="0"/>
                <w:color w:val="111111"/>
                <w:sz w:val="15"/>
              </w:rPr>
              <w:t>7011</w:t>
            </w:r>
          </w:p>
        </w:tc>
        <w:tc>
          <w:tcPr>
            <w:tcW w:type="dxa" w:w="1247"/>
            <w:vAlign w:val="center"/>
          </w:tcPr>
          <w:p>
            <w:pPr>
              <w:jc w:val="right"/>
            </w:pPr>
            <w:r>
              <w:rPr>
                <w:rFonts w:ascii="Malgun Gothic" w:hAnsi="Malgun Gothic" w:eastAsia="Malgun Gothic"/>
                <w:b w:val="0"/>
                <w:color w:val="111111"/>
                <w:sz w:val="15"/>
              </w:rPr>
              <w:t>방산</w:t>
            </w:r>
          </w:p>
        </w:tc>
        <w:tc>
          <w:tcPr>
            <w:tcW w:type="dxa" w:w="1247"/>
            <w:vAlign w:val="center"/>
          </w:tcPr>
          <w:p>
            <w:pPr>
              <w:jc w:val="right"/>
            </w:pPr>
            <w:r>
              <w:rPr>
                <w:rFonts w:ascii="Malgun Gothic" w:hAnsi="Malgun Gothic" w:eastAsia="Malgun Gothic"/>
                <w:b w:val="0"/>
                <w:color w:val="C00000"/>
                <w:sz w:val="15"/>
              </w:rPr>
              <w:t>-6.73%</w:t>
            </w:r>
          </w:p>
        </w:tc>
        <w:tc>
          <w:tcPr>
            <w:tcW w:type="dxa" w:w="1417"/>
            <w:vAlign w:val="center"/>
          </w:tcPr>
          <w:p>
            <w:pPr>
              <w:jc w:val="right"/>
            </w:pPr>
            <w:r>
              <w:rPr>
                <w:rFonts w:ascii="Malgun Gothic" w:hAnsi="Malgun Gothic" w:eastAsia="Malgun Gothic"/>
                <w:b w:val="0"/>
                <w:color w:val="C00000"/>
                <w:sz w:val="15"/>
              </w:rPr>
              <w:t>-0.372%p</w:t>
            </w:r>
          </w:p>
        </w:tc>
      </w:tr>
      <w:tr>
        <w:trPr>
          <w:cantSplit/>
        </w:trPr>
        <w:tc>
          <w:tcPr>
            <w:tcW w:type="dxa" w:w="3175"/>
            <w:shd w:fill="F6F9FC"/>
            <w:vAlign w:val="center"/>
          </w:tcPr>
          <w:p>
            <w:pPr>
              <w:jc w:val="left"/>
            </w:pPr>
            <w:r>
              <w:rPr>
                <w:rFonts w:ascii="Malgun Gothic" w:hAnsi="Malgun Gothic" w:eastAsia="Malgun Gothic"/>
                <w:b/>
                <w:color w:val="111111"/>
                <w:sz w:val="15"/>
              </w:rPr>
              <w:t>Mitsubishi Electric</w:t>
            </w:r>
          </w:p>
        </w:tc>
        <w:tc>
          <w:tcPr>
            <w:tcW w:type="dxa" w:w="1020"/>
            <w:shd w:fill="F6F9FC"/>
            <w:vAlign w:val="center"/>
          </w:tcPr>
          <w:p>
            <w:pPr>
              <w:jc w:val="right"/>
            </w:pPr>
            <w:r>
              <w:rPr>
                <w:rFonts w:ascii="Malgun Gothic" w:hAnsi="Malgun Gothic" w:eastAsia="Malgun Gothic"/>
                <w:b w:val="0"/>
                <w:color w:val="111111"/>
                <w:sz w:val="15"/>
              </w:rPr>
              <w:t>6503</w:t>
            </w:r>
          </w:p>
        </w:tc>
        <w:tc>
          <w:tcPr>
            <w:tcW w:type="dxa" w:w="1247"/>
            <w:shd w:fill="F6F9FC"/>
            <w:vAlign w:val="center"/>
          </w:tcPr>
          <w:p>
            <w:pPr>
              <w:jc w:val="right"/>
            </w:pPr>
            <w:r>
              <w:rPr>
                <w:rFonts w:ascii="Malgun Gothic" w:hAnsi="Malgun Gothic" w:eastAsia="Malgun Gothic"/>
                <w:b w:val="0"/>
                <w:color w:val="111111"/>
                <w:sz w:val="15"/>
              </w:rPr>
              <w:t>AI 직접</w:t>
            </w:r>
          </w:p>
        </w:tc>
        <w:tc>
          <w:tcPr>
            <w:tcW w:type="dxa" w:w="1247"/>
            <w:shd w:fill="F6F9FC"/>
            <w:vAlign w:val="center"/>
          </w:tcPr>
          <w:p>
            <w:pPr>
              <w:jc w:val="right"/>
            </w:pPr>
            <w:r>
              <w:rPr>
                <w:rFonts w:ascii="Malgun Gothic" w:hAnsi="Malgun Gothic" w:eastAsia="Malgun Gothic"/>
                <w:b w:val="0"/>
                <w:color w:val="C00000"/>
                <w:sz w:val="15"/>
              </w:rPr>
              <w:t>-7.08%</w:t>
            </w:r>
          </w:p>
        </w:tc>
        <w:tc>
          <w:tcPr>
            <w:tcW w:type="dxa" w:w="1417"/>
            <w:shd w:fill="F6F9FC"/>
            <w:vAlign w:val="center"/>
          </w:tcPr>
          <w:p>
            <w:pPr>
              <w:jc w:val="right"/>
            </w:pPr>
            <w:r>
              <w:rPr>
                <w:rFonts w:ascii="Malgun Gothic" w:hAnsi="Malgun Gothic" w:eastAsia="Malgun Gothic"/>
                <w:b w:val="0"/>
                <w:color w:val="C00000"/>
                <w:sz w:val="15"/>
              </w:rPr>
              <w:t>-0.344%p</w:t>
            </w:r>
          </w:p>
        </w:tc>
      </w:tr>
      <w:tr>
        <w:trPr>
          <w:cantSplit/>
        </w:trPr>
        <w:tc>
          <w:tcPr>
            <w:tcW w:type="dxa" w:w="3175"/>
            <w:vAlign w:val="center"/>
          </w:tcPr>
          <w:p>
            <w:pPr>
              <w:jc w:val="left"/>
            </w:pPr>
            <w:r>
              <w:rPr>
                <w:rFonts w:ascii="Malgun Gothic" w:hAnsi="Malgun Gothic" w:eastAsia="Malgun Gothic"/>
                <w:b/>
                <w:color w:val="111111"/>
                <w:sz w:val="15"/>
              </w:rPr>
              <w:t>Hitachi</w:t>
            </w:r>
          </w:p>
        </w:tc>
        <w:tc>
          <w:tcPr>
            <w:tcW w:type="dxa" w:w="1020"/>
            <w:vAlign w:val="center"/>
          </w:tcPr>
          <w:p>
            <w:pPr>
              <w:jc w:val="right"/>
            </w:pPr>
            <w:r>
              <w:rPr>
                <w:rFonts w:ascii="Malgun Gothic" w:hAnsi="Malgun Gothic" w:eastAsia="Malgun Gothic"/>
                <w:b w:val="0"/>
                <w:color w:val="111111"/>
                <w:sz w:val="15"/>
              </w:rPr>
              <w:t>6501</w:t>
            </w:r>
          </w:p>
        </w:tc>
        <w:tc>
          <w:tcPr>
            <w:tcW w:type="dxa" w:w="1247"/>
            <w:vAlign w:val="center"/>
          </w:tcPr>
          <w:p>
            <w:pPr>
              <w:jc w:val="right"/>
            </w:pPr>
            <w:r>
              <w:rPr>
                <w:rFonts w:ascii="Malgun Gothic" w:hAnsi="Malgun Gothic" w:eastAsia="Malgun Gothic"/>
                <w:b w:val="0"/>
                <w:color w:val="111111"/>
                <w:sz w:val="15"/>
              </w:rPr>
              <w:t>AI 직접</w:t>
            </w:r>
          </w:p>
        </w:tc>
        <w:tc>
          <w:tcPr>
            <w:tcW w:type="dxa" w:w="1247"/>
            <w:vAlign w:val="center"/>
          </w:tcPr>
          <w:p>
            <w:pPr>
              <w:jc w:val="right"/>
            </w:pPr>
            <w:r>
              <w:rPr>
                <w:rFonts w:ascii="Malgun Gothic" w:hAnsi="Malgun Gothic" w:eastAsia="Malgun Gothic"/>
                <w:b w:val="0"/>
                <w:color w:val="C00000"/>
                <w:sz w:val="15"/>
              </w:rPr>
              <w:t>-3.12%</w:t>
            </w:r>
          </w:p>
        </w:tc>
        <w:tc>
          <w:tcPr>
            <w:tcW w:type="dxa" w:w="1417"/>
            <w:vAlign w:val="center"/>
          </w:tcPr>
          <w:p>
            <w:pPr>
              <w:jc w:val="right"/>
            </w:pPr>
            <w:r>
              <w:rPr>
                <w:rFonts w:ascii="Malgun Gothic" w:hAnsi="Malgun Gothic" w:eastAsia="Malgun Gothic"/>
                <w:b w:val="0"/>
                <w:color w:val="C00000"/>
                <w:sz w:val="15"/>
              </w:rPr>
              <w:t>-0.319%p</w:t>
            </w:r>
          </w:p>
        </w:tc>
      </w:tr>
      <w:tr>
        <w:trPr>
          <w:cantSplit/>
        </w:trPr>
        <w:tc>
          <w:tcPr>
            <w:tcW w:type="dxa" w:w="3175"/>
            <w:shd w:fill="F6F9FC"/>
            <w:vAlign w:val="center"/>
          </w:tcPr>
          <w:p>
            <w:pPr>
              <w:jc w:val="left"/>
            </w:pPr>
            <w:r>
              <w:rPr>
                <w:rFonts w:ascii="Malgun Gothic" w:hAnsi="Malgun Gothic" w:eastAsia="Malgun Gothic"/>
                <w:b/>
                <w:color w:val="111111"/>
                <w:sz w:val="15"/>
              </w:rPr>
              <w:t>Fujikura</w:t>
            </w:r>
          </w:p>
        </w:tc>
        <w:tc>
          <w:tcPr>
            <w:tcW w:type="dxa" w:w="1020"/>
            <w:shd w:fill="F6F9FC"/>
            <w:vAlign w:val="center"/>
          </w:tcPr>
          <w:p>
            <w:pPr>
              <w:jc w:val="right"/>
            </w:pPr>
            <w:r>
              <w:rPr>
                <w:rFonts w:ascii="Malgun Gothic" w:hAnsi="Malgun Gothic" w:eastAsia="Malgun Gothic"/>
                <w:b w:val="0"/>
                <w:color w:val="111111"/>
                <w:sz w:val="15"/>
              </w:rPr>
              <w:t>5803</w:t>
            </w:r>
          </w:p>
        </w:tc>
        <w:tc>
          <w:tcPr>
            <w:tcW w:type="dxa" w:w="1247"/>
            <w:shd w:fill="F6F9FC"/>
            <w:vAlign w:val="center"/>
          </w:tcPr>
          <w:p>
            <w:pPr>
              <w:jc w:val="right"/>
            </w:pPr>
            <w:r>
              <w:rPr>
                <w:rFonts w:ascii="Malgun Gothic" w:hAnsi="Malgun Gothic" w:eastAsia="Malgun Gothic"/>
                <w:b w:val="0"/>
                <w:color w:val="111111"/>
                <w:sz w:val="15"/>
              </w:rPr>
              <w:t>AI 직접</w:t>
            </w:r>
          </w:p>
        </w:tc>
        <w:tc>
          <w:tcPr>
            <w:tcW w:type="dxa" w:w="1247"/>
            <w:shd w:fill="F6F9FC"/>
            <w:vAlign w:val="center"/>
          </w:tcPr>
          <w:p>
            <w:pPr>
              <w:jc w:val="right"/>
            </w:pPr>
            <w:r>
              <w:rPr>
                <w:rFonts w:ascii="Malgun Gothic" w:hAnsi="Malgun Gothic" w:eastAsia="Malgun Gothic"/>
                <w:b w:val="0"/>
                <w:color w:val="C00000"/>
                <w:sz w:val="15"/>
              </w:rPr>
              <w:t>-5.37%</w:t>
            </w:r>
          </w:p>
        </w:tc>
        <w:tc>
          <w:tcPr>
            <w:tcW w:type="dxa" w:w="1417"/>
            <w:shd w:fill="F6F9FC"/>
            <w:vAlign w:val="center"/>
          </w:tcPr>
          <w:p>
            <w:pPr>
              <w:jc w:val="right"/>
            </w:pPr>
            <w:r>
              <w:rPr>
                <w:rFonts w:ascii="Malgun Gothic" w:hAnsi="Malgun Gothic" w:eastAsia="Malgun Gothic"/>
                <w:b w:val="0"/>
                <w:color w:val="C00000"/>
                <w:sz w:val="15"/>
              </w:rPr>
              <w:t>-0.207%p</w:t>
            </w:r>
          </w:p>
        </w:tc>
      </w:tr>
      <w:tr>
        <w:trPr>
          <w:cantSplit/>
        </w:trPr>
        <w:tc>
          <w:tcPr>
            <w:tcW w:type="dxa" w:w="3175"/>
            <w:vAlign w:val="center"/>
          </w:tcPr>
          <w:p>
            <w:pPr>
              <w:jc w:val="left"/>
            </w:pPr>
            <w:r>
              <w:rPr>
                <w:rFonts w:ascii="Malgun Gothic" w:hAnsi="Malgun Gothic" w:eastAsia="Malgun Gothic"/>
                <w:b/>
                <w:color w:val="111111"/>
                <w:sz w:val="15"/>
              </w:rPr>
              <w:t>SMC</w:t>
            </w:r>
          </w:p>
        </w:tc>
        <w:tc>
          <w:tcPr>
            <w:tcW w:type="dxa" w:w="1020"/>
            <w:vAlign w:val="center"/>
          </w:tcPr>
          <w:p>
            <w:pPr>
              <w:jc w:val="right"/>
            </w:pPr>
            <w:r>
              <w:rPr>
                <w:rFonts w:ascii="Malgun Gothic" w:hAnsi="Malgun Gothic" w:eastAsia="Malgun Gothic"/>
                <w:b w:val="0"/>
                <w:color w:val="111111"/>
                <w:sz w:val="15"/>
              </w:rPr>
              <w:t>6273</w:t>
            </w:r>
          </w:p>
        </w:tc>
        <w:tc>
          <w:tcPr>
            <w:tcW w:type="dxa" w:w="1247"/>
            <w:vAlign w:val="center"/>
          </w:tcPr>
          <w:p>
            <w:pPr>
              <w:jc w:val="right"/>
            </w:pPr>
            <w:r>
              <w:rPr>
                <w:rFonts w:ascii="Malgun Gothic" w:hAnsi="Malgun Gothic" w:eastAsia="Malgun Gothic"/>
                <w:b w:val="0"/>
                <w:color w:val="111111"/>
                <w:sz w:val="15"/>
              </w:rPr>
              <w:t>AI 인접</w:t>
            </w:r>
          </w:p>
        </w:tc>
        <w:tc>
          <w:tcPr>
            <w:tcW w:type="dxa" w:w="1247"/>
            <w:vAlign w:val="center"/>
          </w:tcPr>
          <w:p>
            <w:pPr>
              <w:jc w:val="right"/>
            </w:pPr>
            <w:r>
              <w:rPr>
                <w:rFonts w:ascii="Malgun Gothic" w:hAnsi="Malgun Gothic" w:eastAsia="Malgun Gothic"/>
                <w:b w:val="0"/>
                <w:color w:val="C00000"/>
                <w:sz w:val="15"/>
              </w:rPr>
              <w:t>-4.50%</w:t>
            </w:r>
          </w:p>
        </w:tc>
        <w:tc>
          <w:tcPr>
            <w:tcW w:type="dxa" w:w="1417"/>
            <w:vAlign w:val="center"/>
          </w:tcPr>
          <w:p>
            <w:pPr>
              <w:jc w:val="right"/>
            </w:pPr>
            <w:r>
              <w:rPr>
                <w:rFonts w:ascii="Malgun Gothic" w:hAnsi="Malgun Gothic" w:eastAsia="Malgun Gothic"/>
                <w:b w:val="0"/>
                <w:color w:val="C00000"/>
                <w:sz w:val="15"/>
              </w:rPr>
              <w:t>-0.082%p</w:t>
            </w:r>
          </w:p>
        </w:tc>
      </w:tr>
      <w:tr>
        <w:trPr>
          <w:cantSplit/>
        </w:trPr>
        <w:tc>
          <w:tcPr>
            <w:tcW w:type="dxa" w:w="3175"/>
            <w:shd w:fill="F6F9FC"/>
            <w:vAlign w:val="center"/>
          </w:tcPr>
          <w:p>
            <w:pPr>
              <w:jc w:val="left"/>
            </w:pPr>
            <w:r>
              <w:rPr>
                <w:rFonts w:ascii="Malgun Gothic" w:hAnsi="Malgun Gothic" w:eastAsia="Malgun Gothic"/>
                <w:b/>
                <w:color w:val="111111"/>
                <w:sz w:val="15"/>
              </w:rPr>
              <w:t>Kawasaki Heavy Industries</w:t>
            </w:r>
          </w:p>
        </w:tc>
        <w:tc>
          <w:tcPr>
            <w:tcW w:type="dxa" w:w="1020"/>
            <w:shd w:fill="F6F9FC"/>
            <w:vAlign w:val="center"/>
          </w:tcPr>
          <w:p>
            <w:pPr>
              <w:jc w:val="right"/>
            </w:pPr>
            <w:r>
              <w:rPr>
                <w:rFonts w:ascii="Malgun Gothic" w:hAnsi="Malgun Gothic" w:eastAsia="Malgun Gothic"/>
                <w:b w:val="0"/>
                <w:color w:val="111111"/>
                <w:sz w:val="15"/>
              </w:rPr>
              <w:t>7012</w:t>
            </w:r>
          </w:p>
        </w:tc>
        <w:tc>
          <w:tcPr>
            <w:tcW w:type="dxa" w:w="1247"/>
            <w:shd w:fill="F6F9FC"/>
            <w:vAlign w:val="center"/>
          </w:tcPr>
          <w:p>
            <w:pPr>
              <w:jc w:val="right"/>
            </w:pPr>
            <w:r>
              <w:rPr>
                <w:rFonts w:ascii="Malgun Gothic" w:hAnsi="Malgun Gothic" w:eastAsia="Malgun Gothic"/>
                <w:b w:val="0"/>
                <w:color w:val="111111"/>
                <w:sz w:val="15"/>
              </w:rPr>
              <w:t>방산</w:t>
            </w:r>
          </w:p>
        </w:tc>
        <w:tc>
          <w:tcPr>
            <w:tcW w:type="dxa" w:w="1247"/>
            <w:shd w:fill="F6F9FC"/>
            <w:vAlign w:val="center"/>
          </w:tcPr>
          <w:p>
            <w:pPr>
              <w:jc w:val="right"/>
            </w:pPr>
            <w:r>
              <w:rPr>
                <w:rFonts w:ascii="Malgun Gothic" w:hAnsi="Malgun Gothic" w:eastAsia="Malgun Gothic"/>
                <w:b w:val="0"/>
                <w:color w:val="C00000"/>
                <w:sz w:val="15"/>
              </w:rPr>
              <w:t>-7.22%</w:t>
            </w:r>
          </w:p>
        </w:tc>
        <w:tc>
          <w:tcPr>
            <w:tcW w:type="dxa" w:w="1417"/>
            <w:shd w:fill="F6F9FC"/>
            <w:vAlign w:val="center"/>
          </w:tcPr>
          <w:p>
            <w:pPr>
              <w:jc w:val="right"/>
            </w:pPr>
            <w:r>
              <w:rPr>
                <w:rFonts w:ascii="Malgun Gothic" w:hAnsi="Malgun Gothic" w:eastAsia="Malgun Gothic"/>
                <w:b w:val="0"/>
                <w:color w:val="C00000"/>
                <w:sz w:val="15"/>
              </w:rPr>
              <w:t>-0.068%p</w:t>
            </w:r>
          </w:p>
        </w:tc>
      </w:tr>
      <w:tr>
        <w:trPr>
          <w:cantSplit/>
        </w:trPr>
        <w:tc>
          <w:tcPr>
            <w:tcW w:type="dxa" w:w="3175"/>
            <w:vAlign w:val="center"/>
          </w:tcPr>
          <w:p>
            <w:pPr>
              <w:jc w:val="left"/>
            </w:pPr>
            <w:r>
              <w:rPr>
                <w:rFonts w:ascii="Malgun Gothic" w:hAnsi="Malgun Gothic" w:eastAsia="Malgun Gothic"/>
                <w:b/>
                <w:color w:val="111111"/>
                <w:sz w:val="15"/>
              </w:rPr>
              <w:t>IHI</w:t>
            </w:r>
          </w:p>
        </w:tc>
        <w:tc>
          <w:tcPr>
            <w:tcW w:type="dxa" w:w="1020"/>
            <w:vAlign w:val="center"/>
          </w:tcPr>
          <w:p>
            <w:pPr>
              <w:jc w:val="right"/>
            </w:pPr>
            <w:r>
              <w:rPr>
                <w:rFonts w:ascii="Malgun Gothic" w:hAnsi="Malgun Gothic" w:eastAsia="Malgun Gothic"/>
                <w:b w:val="0"/>
                <w:color w:val="111111"/>
                <w:sz w:val="15"/>
              </w:rPr>
              <w:t>7013</w:t>
            </w:r>
          </w:p>
        </w:tc>
        <w:tc>
          <w:tcPr>
            <w:tcW w:type="dxa" w:w="1247"/>
            <w:vAlign w:val="center"/>
          </w:tcPr>
          <w:p>
            <w:pPr>
              <w:jc w:val="right"/>
            </w:pPr>
            <w:r>
              <w:rPr>
                <w:rFonts w:ascii="Malgun Gothic" w:hAnsi="Malgun Gothic" w:eastAsia="Malgun Gothic"/>
                <w:b w:val="0"/>
                <w:color w:val="111111"/>
                <w:sz w:val="15"/>
              </w:rPr>
              <w:t>방산</w:t>
            </w:r>
          </w:p>
        </w:tc>
        <w:tc>
          <w:tcPr>
            <w:tcW w:type="dxa" w:w="1247"/>
            <w:vAlign w:val="center"/>
          </w:tcPr>
          <w:p>
            <w:pPr>
              <w:jc w:val="right"/>
            </w:pPr>
            <w:r>
              <w:rPr>
                <w:rFonts w:ascii="Malgun Gothic" w:hAnsi="Malgun Gothic" w:eastAsia="Malgun Gothic"/>
                <w:b w:val="0"/>
                <w:color w:val="C00000"/>
                <w:sz w:val="15"/>
              </w:rPr>
              <w:t>-5.12%</w:t>
            </w:r>
          </w:p>
        </w:tc>
        <w:tc>
          <w:tcPr>
            <w:tcW w:type="dxa" w:w="1417"/>
            <w:vAlign w:val="center"/>
          </w:tcPr>
          <w:p>
            <w:pPr>
              <w:jc w:val="right"/>
            </w:pPr>
            <w:r>
              <w:rPr>
                <w:rFonts w:ascii="Malgun Gothic" w:hAnsi="Malgun Gothic" w:eastAsia="Malgun Gothic"/>
                <w:b w:val="0"/>
                <w:color w:val="C00000"/>
                <w:sz w:val="15"/>
              </w:rPr>
              <w:t>-0.062%p</w:t>
            </w:r>
          </w:p>
        </w:tc>
      </w:tr>
      <w:tr>
        <w:trPr>
          <w:cantSplit/>
        </w:trPr>
        <w:tc>
          <w:tcPr>
            <w:tcW w:type="dxa" w:w="3175"/>
            <w:shd w:fill="F6F9FC"/>
            <w:vAlign w:val="center"/>
          </w:tcPr>
          <w:p>
            <w:pPr>
              <w:jc w:val="left"/>
            </w:pPr>
            <w:r>
              <w:rPr>
                <w:rFonts w:ascii="Malgun Gothic" w:hAnsi="Malgun Gothic" w:eastAsia="Malgun Gothic"/>
                <w:b/>
                <w:color w:val="111111"/>
                <w:sz w:val="15"/>
              </w:rPr>
              <w:t>FANUC</w:t>
            </w:r>
          </w:p>
        </w:tc>
        <w:tc>
          <w:tcPr>
            <w:tcW w:type="dxa" w:w="1020"/>
            <w:shd w:fill="F6F9FC"/>
            <w:vAlign w:val="center"/>
          </w:tcPr>
          <w:p>
            <w:pPr>
              <w:jc w:val="right"/>
            </w:pPr>
            <w:r>
              <w:rPr>
                <w:rFonts w:ascii="Malgun Gothic" w:hAnsi="Malgun Gothic" w:eastAsia="Malgun Gothic"/>
                <w:b w:val="0"/>
                <w:color w:val="111111"/>
                <w:sz w:val="15"/>
              </w:rPr>
              <w:t>6954</w:t>
            </w:r>
          </w:p>
        </w:tc>
        <w:tc>
          <w:tcPr>
            <w:tcW w:type="dxa" w:w="1247"/>
            <w:shd w:fill="F6F9FC"/>
            <w:vAlign w:val="center"/>
          </w:tcPr>
          <w:p>
            <w:pPr>
              <w:jc w:val="right"/>
            </w:pPr>
            <w:r>
              <w:rPr>
                <w:rFonts w:ascii="Malgun Gothic" w:hAnsi="Malgun Gothic" w:eastAsia="Malgun Gothic"/>
                <w:b w:val="0"/>
                <w:color w:val="111111"/>
                <w:sz w:val="15"/>
              </w:rPr>
              <w:t>AI 인접</w:t>
            </w:r>
          </w:p>
        </w:tc>
        <w:tc>
          <w:tcPr>
            <w:tcW w:type="dxa" w:w="1247"/>
            <w:shd w:fill="F6F9FC"/>
            <w:vAlign w:val="center"/>
          </w:tcPr>
          <w:p>
            <w:pPr>
              <w:jc w:val="right"/>
            </w:pPr>
            <w:r>
              <w:rPr>
                <w:rFonts w:ascii="Malgun Gothic" w:hAnsi="Malgun Gothic" w:eastAsia="Malgun Gothic"/>
                <w:b w:val="0"/>
                <w:color w:val="C00000"/>
                <w:sz w:val="15"/>
              </w:rPr>
              <w:t>-2.00%</w:t>
            </w:r>
          </w:p>
        </w:tc>
        <w:tc>
          <w:tcPr>
            <w:tcW w:type="dxa" w:w="1417"/>
            <w:shd w:fill="F6F9FC"/>
            <w:vAlign w:val="center"/>
          </w:tcPr>
          <w:p>
            <w:pPr>
              <w:jc w:val="right"/>
            </w:pPr>
            <w:r>
              <w:rPr>
                <w:rFonts w:ascii="Malgun Gothic" w:hAnsi="Malgun Gothic" w:eastAsia="Malgun Gothic"/>
                <w:b w:val="0"/>
                <w:color w:val="C00000"/>
                <w:sz w:val="15"/>
              </w:rPr>
              <w:t>-0.048%p</w:t>
            </w:r>
          </w:p>
        </w:tc>
      </w:tr>
      <w:tr>
        <w:trPr>
          <w:cantSplit/>
        </w:trPr>
        <w:tc>
          <w:tcPr>
            <w:tcW w:type="dxa" w:w="3175"/>
            <w:vAlign w:val="center"/>
          </w:tcPr>
          <w:p>
            <w:pPr>
              <w:jc w:val="left"/>
            </w:pPr>
            <w:r>
              <w:rPr>
                <w:rFonts w:ascii="Malgun Gothic" w:hAnsi="Malgun Gothic" w:eastAsia="Malgun Gothic"/>
                <w:b/>
                <w:color w:val="111111"/>
                <w:sz w:val="15"/>
              </w:rPr>
              <w:t>Daikin Industries</w:t>
            </w:r>
          </w:p>
        </w:tc>
        <w:tc>
          <w:tcPr>
            <w:tcW w:type="dxa" w:w="1020"/>
            <w:vAlign w:val="center"/>
          </w:tcPr>
          <w:p>
            <w:pPr>
              <w:jc w:val="right"/>
            </w:pPr>
            <w:r>
              <w:rPr>
                <w:rFonts w:ascii="Malgun Gothic" w:hAnsi="Malgun Gothic" w:eastAsia="Malgun Gothic"/>
                <w:b w:val="0"/>
                <w:color w:val="111111"/>
                <w:sz w:val="15"/>
              </w:rPr>
              <w:t>6367</w:t>
            </w:r>
          </w:p>
        </w:tc>
        <w:tc>
          <w:tcPr>
            <w:tcW w:type="dxa" w:w="1247"/>
            <w:vAlign w:val="center"/>
          </w:tcPr>
          <w:p>
            <w:pPr>
              <w:jc w:val="right"/>
            </w:pPr>
            <w:r>
              <w:rPr>
                <w:rFonts w:ascii="Malgun Gothic" w:hAnsi="Malgun Gothic" w:eastAsia="Malgun Gothic"/>
                <w:b w:val="0"/>
                <w:color w:val="111111"/>
                <w:sz w:val="15"/>
              </w:rPr>
              <w:t>AI 직접</w:t>
            </w:r>
          </w:p>
        </w:tc>
        <w:tc>
          <w:tcPr>
            <w:tcW w:type="dxa" w:w="1247"/>
            <w:vAlign w:val="center"/>
          </w:tcPr>
          <w:p>
            <w:pPr>
              <w:jc w:val="right"/>
            </w:pPr>
            <w:r>
              <w:rPr>
                <w:rFonts w:ascii="Malgun Gothic" w:hAnsi="Malgun Gothic" w:eastAsia="Malgun Gothic"/>
                <w:b w:val="0"/>
                <w:color w:val="C00000"/>
                <w:sz w:val="15"/>
              </w:rPr>
              <w:t>-1.89%</w:t>
            </w:r>
          </w:p>
        </w:tc>
        <w:tc>
          <w:tcPr>
            <w:tcW w:type="dxa" w:w="1417"/>
            <w:vAlign w:val="center"/>
          </w:tcPr>
          <w:p>
            <w:pPr>
              <w:jc w:val="right"/>
            </w:pPr>
            <w:r>
              <w:rPr>
                <w:rFonts w:ascii="Malgun Gothic" w:hAnsi="Malgun Gothic" w:eastAsia="Malgun Gothic"/>
                <w:b w:val="0"/>
                <w:color w:val="C00000"/>
                <w:sz w:val="15"/>
              </w:rPr>
              <w:t>-0.047%p</w:t>
            </w:r>
          </w:p>
        </w:tc>
      </w:tr>
      <w:tr>
        <w:trPr>
          <w:cantSplit/>
        </w:trPr>
        <w:tc>
          <w:tcPr>
            <w:tcW w:type="dxa" w:w="3175"/>
            <w:shd w:fill="F6F9FC"/>
            <w:vAlign w:val="center"/>
          </w:tcPr>
          <w:p>
            <w:pPr>
              <w:jc w:val="left"/>
            </w:pPr>
            <w:r>
              <w:rPr>
                <w:rFonts w:ascii="Malgun Gothic" w:hAnsi="Malgun Gothic" w:eastAsia="Malgun Gothic"/>
                <w:b/>
                <w:color w:val="111111"/>
                <w:sz w:val="15"/>
              </w:rPr>
              <w:t>Ebara</w:t>
            </w:r>
          </w:p>
        </w:tc>
        <w:tc>
          <w:tcPr>
            <w:tcW w:type="dxa" w:w="1020"/>
            <w:shd w:fill="F6F9FC"/>
            <w:vAlign w:val="center"/>
          </w:tcPr>
          <w:p>
            <w:pPr>
              <w:jc w:val="right"/>
            </w:pPr>
            <w:r>
              <w:rPr>
                <w:rFonts w:ascii="Malgun Gothic" w:hAnsi="Malgun Gothic" w:eastAsia="Malgun Gothic"/>
                <w:b w:val="0"/>
                <w:color w:val="111111"/>
                <w:sz w:val="15"/>
              </w:rPr>
              <w:t>6361</w:t>
            </w:r>
          </w:p>
        </w:tc>
        <w:tc>
          <w:tcPr>
            <w:tcW w:type="dxa" w:w="1247"/>
            <w:shd w:fill="F6F9FC"/>
            <w:vAlign w:val="center"/>
          </w:tcPr>
          <w:p>
            <w:pPr>
              <w:jc w:val="right"/>
            </w:pPr>
            <w:r>
              <w:rPr>
                <w:rFonts w:ascii="Malgun Gothic" w:hAnsi="Malgun Gothic" w:eastAsia="Malgun Gothic"/>
                <w:b w:val="0"/>
                <w:color w:val="111111"/>
                <w:sz w:val="15"/>
              </w:rPr>
              <w:t>AI 직접</w:t>
            </w:r>
          </w:p>
        </w:tc>
        <w:tc>
          <w:tcPr>
            <w:tcW w:type="dxa" w:w="1247"/>
            <w:shd w:fill="F6F9FC"/>
            <w:vAlign w:val="center"/>
          </w:tcPr>
          <w:p>
            <w:pPr>
              <w:jc w:val="right"/>
            </w:pPr>
            <w:r>
              <w:rPr>
                <w:rFonts w:ascii="Malgun Gothic" w:hAnsi="Malgun Gothic" w:eastAsia="Malgun Gothic"/>
                <w:b w:val="0"/>
                <w:color w:val="C00000"/>
                <w:sz w:val="15"/>
              </w:rPr>
              <w:t>-5.38%</w:t>
            </w:r>
          </w:p>
        </w:tc>
        <w:tc>
          <w:tcPr>
            <w:tcW w:type="dxa" w:w="1417"/>
            <w:shd w:fill="F6F9FC"/>
            <w:vAlign w:val="center"/>
          </w:tcPr>
          <w:p>
            <w:pPr>
              <w:jc w:val="right"/>
            </w:pPr>
            <w:r>
              <w:rPr>
                <w:rFonts w:ascii="Malgun Gothic" w:hAnsi="Malgun Gothic" w:eastAsia="Malgun Gothic"/>
                <w:b w:val="0"/>
                <w:color w:val="C00000"/>
                <w:sz w:val="15"/>
              </w:rPr>
              <w:t>-0.047%p</w:t>
            </w:r>
          </w:p>
        </w:tc>
      </w:tr>
    </w:tbl>
    <w:p>
      <w:pPr>
        <w:spacing w:after="0"/>
      </w:pP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Mitsubishi Heavy가 -0.372%p로 최대 하락기여였고, Mitsubishi Electric -0.344%p, Hitachi -0.319%p, Fujikura -0.207%p가 뒤를 이었다.</w:t>
      </w:r>
    </w:p>
    <w:p>
      <w:pPr>
        <w:spacing w:after="80" w:line="269" w:lineRule="auto"/>
      </w:pPr>
      <w:r>
        <w:rPr>
          <w:rFonts w:ascii="Malgun Gothic" w:hAnsi="Malgun Gothic" w:eastAsia="Malgun Gothic"/>
          <w:b/>
          <w:color w:val="9C6500"/>
          <w:sz w:val="18"/>
        </w:rPr>
        <w:t xml:space="preserve">[INFERENCE] </w:t>
      </w:r>
      <w:r>
        <w:rPr>
          <w:rFonts w:ascii="Malgun Gothic" w:hAnsi="Malgun Gothic" w:eastAsia="Malgun Gothic"/>
          <w:b w:val="0"/>
          <w:color w:val="111111"/>
          <w:sz w:val="18"/>
        </w:rPr>
        <w:t>상위 네 종목 중 세 종목이 AI 직접군이라는 점이 일본 AI 바스켓의 gross downside 61.6%를 설명한다. 평균 낙폭보다 시가총액과 노출의 결합이 중요했다.</w:t>
      </w:r>
    </w:p>
    <w:p>
      <w:r>
        <w:br w:type="page"/>
      </w:r>
    </w:p>
    <w:p>
      <w:pPr>
        <w:pStyle w:val="Heading1"/>
        <w:keepNext/>
      </w:pPr>
      <w:r>
        <w:t>AI 프록시 분류와 대표 사업 근거</w:t>
      </w:r>
    </w:p>
    <w:p>
      <w:pPr>
        <w:keepNext w:val="0"/>
        <w:spacing w:after="80" w:line="269" w:lineRule="auto"/>
      </w:pPr>
      <w:r>
        <w:rPr>
          <w:rFonts w:ascii="Malgun Gothic" w:hAnsi="Malgun Gothic" w:eastAsia="Malgun Gothic"/>
          <w:b w:val="0"/>
          <w:color w:val="666666"/>
          <w:sz w:val="17"/>
        </w:rPr>
        <w:t>분류는 Bloomberg/GICS 공식 테마가 아니라 Capital Goods 구성종목의 실제 공급망 역할을 기준으로 만든 상호배타적 분석용 프록시다. 방산 중복은 방산을 우선했다.</w:t>
      </w:r>
    </w:p>
    <w:p>
      <w:pPr>
        <w:pStyle w:val="Heading2"/>
        <w:keepNext/>
      </w:pPr>
      <w:r>
        <w:t>직접 — 데이터센터 시공·HVAC</w:t>
      </w:r>
    </w:p>
    <w:p>
      <w:pPr>
        <w:keepNext w:val="0"/>
        <w:spacing w:after="60" w:line="269" w:lineRule="auto"/>
      </w:pPr>
      <w:r>
        <w:rPr>
          <w:rFonts w:ascii="Malgun Gothic" w:hAnsi="Malgun Gothic" w:eastAsia="Malgun Gothic"/>
          <w:b w:val="0"/>
          <w:color w:val="111111"/>
          <w:sz w:val="15"/>
        </w:rPr>
        <w:t>데이터센터 MEP·통신·공조 시공 및 운영. MIRAIT ONE corp (1417), EXEO Group (1951), Shin Nippon Air Technologies C (1952), Takasago Thermal Engineering C (1969), Taikisha (1979), Dai-Dan (1980), Hibiya Engineering (1982)</w:t>
      </w:r>
    </w:p>
    <w:p>
      <w:pPr>
        <w:pStyle w:val="Heading2"/>
        <w:keepNext/>
      </w:pPr>
      <w:r>
        <w:t>직접 — 광·케이블</w:t>
      </w:r>
    </w:p>
    <w:p>
      <w:pPr>
        <w:keepNext w:val="0"/>
        <w:spacing w:after="60" w:line="269" w:lineRule="auto"/>
      </w:pPr>
      <w:r>
        <w:rPr>
          <w:rFonts w:ascii="Malgun Gothic" w:hAnsi="Malgun Gothic" w:eastAsia="Malgun Gothic"/>
          <w:b w:val="0"/>
          <w:color w:val="111111"/>
          <w:sz w:val="15"/>
        </w:rPr>
        <w:t>광섬유·전력케이블 등 AI 데이터센터 연결 인프라. Furukawa Electric (5801), Fujikura (5803), SWCC (5805), Hirakawa Hewtech (5821)</w:t>
      </w:r>
    </w:p>
    <w:p>
      <w:pPr>
        <w:pStyle w:val="Heading2"/>
        <w:keepNext/>
      </w:pPr>
      <w:r>
        <w:t>직접 — 전력·냉각장비</w:t>
      </w:r>
    </w:p>
    <w:p>
      <w:pPr>
        <w:keepNext w:val="0"/>
        <w:spacing w:after="60" w:line="269" w:lineRule="auto"/>
      </w:pPr>
      <w:r>
        <w:rPr>
          <w:rFonts w:ascii="Malgun Gothic" w:hAnsi="Malgun Gothic" w:eastAsia="Malgun Gothic"/>
          <w:b w:val="0"/>
          <w:color w:val="111111"/>
          <w:sz w:val="15"/>
        </w:rPr>
        <w:t>UPS·배전·발전·냉각·랙/외함. Ebara (6361), Daikin Industries (6367), Hitachi (6501), Mitsubishi Electric (6503), Fuji Electric (6504), Sanyo Denki (6516), Nitto Kogyo (6651)</w:t>
      </w:r>
    </w:p>
    <w:p>
      <w:pPr>
        <w:pStyle w:val="Heading2"/>
        <w:keepNext/>
      </w:pPr>
      <w:r>
        <w:t>인접 — 전력망·전기공사</w:t>
      </w:r>
    </w:p>
    <w:p>
      <w:pPr>
        <w:keepNext w:val="0"/>
        <w:spacing w:after="60" w:line="269" w:lineRule="auto"/>
      </w:pPr>
      <w:r>
        <w:rPr>
          <w:rFonts w:ascii="Malgun Gothic" w:hAnsi="Malgun Gothic" w:eastAsia="Malgun Gothic"/>
          <w:b w:val="0"/>
          <w:color w:val="111111"/>
          <w:sz w:val="15"/>
        </w:rPr>
        <w:t>국내 송배전·전기공사 및 grid 증설. Hokuriku Electrical Constructi (1930), Yurtec (1934), Yondenko (1939), Chudenko (1941), Kandenko (1942), Kinden (1944), Tokyo Energy &amp; Systems (1945), Toenec (1946), Kraftia (1959), Meidensha (6508), Takaoka Toko (6617), Daihen (6622), Senshu Electric (9824)</w:t>
      </w:r>
    </w:p>
    <w:p>
      <w:pPr>
        <w:pStyle w:val="Heading2"/>
        <w:keepNext/>
      </w:pPr>
      <w:r>
        <w:t>인접 — 반도체장비·FA</w:t>
      </w:r>
    </w:p>
    <w:p>
      <w:pPr>
        <w:keepNext w:val="0"/>
        <w:spacing w:after="60" w:line="269" w:lineRule="auto"/>
      </w:pPr>
      <w:r>
        <w:rPr>
          <w:rFonts w:ascii="Malgun Gothic" w:hAnsi="Malgun Gothic" w:eastAsia="Malgun Gothic"/>
          <w:b w:val="0"/>
          <w:color w:val="111111"/>
          <w:sz w:val="15"/>
        </w:rPr>
        <w:t>웨이퍼 이송·공정 보조·로봇·서보·자동화. Sanki Engineering (1961), Meiji Electric Industries Co L (3388), Tocalo (3433), Toyo Tanso (5310), NGK (5333), Fuji/Aichi (6134), Asahi Diamond Industrial Co Lt (6140), Nomura Micro Science (6254), Hirata (6258), Marumae (6264), Nabtesco (6268), SMC (6273), Union Tool Co (6278), Airtech Japan (6291), Sumitomo Heavy Industries (6302), Harmonic Drive Systems (6324), Organo (6368), Kurita Water Industries (6370), Daifuku (6383), CKD (6407), Nachi-Fujikoshi (6474), Nippon Thompson (6480), THK (6481), Yaskawa Electric (6506), Idec/Japan (6652), Obara Group (6877), Ushio (6925), FANUC (6954), Daiichi Jitsugyo (8059), Kanaden (8081), Nichiden (9902), MISUMI Group (9962)</w:t>
      </w:r>
    </w:p>
    <w:p>
      <w:pPr>
        <w:pStyle w:val="Heading2"/>
        <w:keepNext/>
      </w:pPr>
      <w:r>
        <w:t>대표 기업의 공식 설명</w:t>
      </w:r>
    </w:p>
    <w:p>
      <w:pPr>
        <w:pStyle w:val="ListBullet"/>
        <w:spacing w:after="40" w:line="240" w:lineRule="auto"/>
      </w:pPr>
      <w:hyperlink r:id="rId17">
        <w:r>
          <w:rPr>
            <w:rFonts w:ascii="Malgun Gothic" w:eastAsia="Malgun Gothic"/>
            <w:color w:val="0563C1"/>
            <w:u w:val="single"/>
          </w:rPr>
          <w:t>Fuji Electric — Data center UPS / power systems</w:t>
        </w:r>
      </w:hyperlink>
      <w:r>
        <w:rPr>
          <w:rFonts w:ascii="Malgun Gothic" w:hAnsi="Malgun Gothic" w:eastAsia="Malgun Gothic"/>
          <w:b w:val="0"/>
          <w:color w:val="666666"/>
          <w:sz w:val="15"/>
        </w:rPr>
        <w:t xml:space="preserve"> — AI 데이터센터용 UPS·전력 안정화</w:t>
      </w:r>
    </w:p>
    <w:p>
      <w:pPr>
        <w:pStyle w:val="ListBullet"/>
        <w:spacing w:after="40" w:line="240" w:lineRule="auto"/>
      </w:pPr>
      <w:hyperlink r:id="rId18">
        <w:r>
          <w:rPr>
            <w:rFonts w:ascii="Malgun Gothic" w:eastAsia="Malgun Gothic"/>
            <w:color w:val="0563C1"/>
            <w:u w:val="single"/>
          </w:rPr>
          <w:t>EBARA — Long-term Vision / data center cooling</w:t>
        </w:r>
      </w:hyperlink>
      <w:r>
        <w:rPr>
          <w:rFonts w:ascii="Malgun Gothic" w:hAnsi="Malgun Gothic" w:eastAsia="Malgun Gothic"/>
          <w:b w:val="0"/>
          <w:color w:val="666666"/>
          <w:sz w:val="15"/>
        </w:rPr>
        <w:t xml:space="preserve"> — 데이터센터 냉각용 펌프와 반도체 chiller</w:t>
      </w:r>
    </w:p>
    <w:p>
      <w:pPr>
        <w:pStyle w:val="ListBullet"/>
        <w:spacing w:after="40" w:line="240" w:lineRule="auto"/>
      </w:pPr>
      <w:hyperlink r:id="rId19">
        <w:r>
          <w:rPr>
            <w:rFonts w:ascii="Malgun Gothic" w:eastAsia="Malgun Gothic"/>
            <w:color w:val="0563C1"/>
            <w:u w:val="single"/>
          </w:rPr>
          <w:t>Yaskawa — Industrial robots</w:t>
        </w:r>
      </w:hyperlink>
      <w:r>
        <w:rPr>
          <w:rFonts w:ascii="Malgun Gothic" w:hAnsi="Malgun Gothic" w:eastAsia="Malgun Gothic"/>
          <w:b w:val="0"/>
          <w:color w:val="666666"/>
          <w:sz w:val="15"/>
        </w:rPr>
        <w:t xml:space="preserve"> — AI 자동화·반도체 제조용 로봇</w:t>
      </w:r>
    </w:p>
    <w:p>
      <w:pPr>
        <w:pStyle w:val="ListBullet"/>
        <w:spacing w:after="40" w:line="240" w:lineRule="auto"/>
      </w:pPr>
      <w:hyperlink r:id="rId20">
        <w:r>
          <w:rPr>
            <w:rFonts w:ascii="Malgun Gothic" w:eastAsia="Malgun Gothic"/>
            <w:color w:val="0563C1"/>
            <w:u w:val="single"/>
          </w:rPr>
          <w:t>DAIHEN — Wafer transfer robots</w:t>
        </w:r>
      </w:hyperlink>
      <w:r>
        <w:rPr>
          <w:rFonts w:ascii="Malgun Gothic" w:hAnsi="Malgun Gothic" w:eastAsia="Malgun Gothic"/>
          <w:b w:val="0"/>
          <w:color w:val="666666"/>
          <w:sz w:val="15"/>
        </w:rPr>
        <w:t xml:space="preserve"> — 반도체 웨이퍼 이송 로봇</w:t>
      </w:r>
    </w:p>
    <w:p>
      <w:pPr>
        <w:pStyle w:val="ListBullet"/>
        <w:spacing w:after="40" w:line="240" w:lineRule="auto"/>
      </w:pPr>
      <w:hyperlink r:id="rId21">
        <w:r>
          <w:rPr>
            <w:rFonts w:ascii="Malgun Gothic" w:eastAsia="Malgun Gothic"/>
            <w:color w:val="0563C1"/>
            <w:u w:val="single"/>
          </w:rPr>
          <w:t>FANUC — Physical AI collaboration</w:t>
        </w:r>
      </w:hyperlink>
      <w:r>
        <w:rPr>
          <w:rFonts w:ascii="Malgun Gothic" w:hAnsi="Malgun Gothic" w:eastAsia="Malgun Gothic"/>
          <w:b w:val="0"/>
          <w:color w:val="666666"/>
          <w:sz w:val="15"/>
        </w:rPr>
        <w:t xml:space="preserve"> — Physical AI·로봇 자동화</w:t>
      </w:r>
    </w:p>
    <w:p>
      <w:r>
        <w:br w:type="page"/>
      </w:r>
    </w:p>
    <w:p>
      <w:pPr>
        <w:pStyle w:val="Heading1"/>
        <w:keepNext/>
      </w:pPr>
      <w:r>
        <w:t>Risks, 확인할 지표, 최종 판단</w:t>
      </w:r>
    </w:p>
    <w:p>
      <w:pPr>
        <w:pStyle w:val="Heading2"/>
        <w:keepNext/>
      </w:pPr>
      <w:r>
        <w:t>결론을 바꿀 수 있는 반증</w:t>
      </w:r>
    </w:p>
    <w:p>
      <w:pPr>
        <w:pStyle w:val="ListBullet"/>
        <w:keepNext w:val="0"/>
        <w:spacing w:after="80" w:line="269" w:lineRule="auto"/>
      </w:pPr>
      <w:r>
        <w:rPr>
          <w:rFonts w:ascii="Malgun Gothic" w:hAnsi="Malgun Gothic" w:eastAsia="Malgun Gothic"/>
          <w:b w:val="0"/>
          <w:color w:val="111111"/>
          <w:sz w:val="18"/>
        </w:rPr>
        <w:t>금리가 안정된 뒤에도 Fujikura·Mitsubishi Electric·Hitachi·Ebara·Yaskawa·SMC가 계속 시장을 하회하고, 데이터센터·반도체장비 주문과 백로그가 둔화한다면 수요 우려의 비중을 높여야 한다.</w:t>
      </w:r>
    </w:p>
    <w:p>
      <w:pPr>
        <w:pStyle w:val="ListBullet"/>
        <w:keepNext w:val="0"/>
        <w:spacing w:after="80" w:line="269" w:lineRule="auto"/>
      </w:pPr>
      <w:r>
        <w:rPr>
          <w:rFonts w:ascii="Malgun Gothic" w:hAnsi="Malgun Gothic" w:eastAsia="Malgun Gothic"/>
          <w:b w:val="0"/>
          <w:color w:val="111111"/>
          <w:sz w:val="18"/>
        </w:rPr>
        <w:t>일본 8월 산업생산 전망(+6.4%)이 실제치에서 크게 하향되고 생산기계·전자부품이 꺾이면 현재의 '할인율 1차, 실물 2차' 판단은 약해진다.</w:t>
      </w:r>
    </w:p>
    <w:p>
      <w:pPr>
        <w:pStyle w:val="ListBullet"/>
        <w:keepNext w:val="0"/>
        <w:spacing w:after="80" w:line="269" w:lineRule="auto"/>
      </w:pPr>
      <w:r>
        <w:rPr>
          <w:rFonts w:ascii="Malgun Gothic" w:hAnsi="Malgun Gothic" w:eastAsia="Malgun Gothic"/>
          <w:b w:val="0"/>
          <w:color w:val="111111"/>
          <w:sz w:val="18"/>
        </w:rPr>
        <w:t>BOJ의 9월 정책 경로, JGB 2년·10년 금리, 엔화, 유가가 안정되는데도 AI 장비주가 회복하지 못하면 포지셔닝보다 이익추정치 리스크를 우선해야 한다.</w:t>
      </w:r>
    </w:p>
    <w:p>
      <w:pPr>
        <w:pStyle w:val="Heading2"/>
        <w:keepNext/>
      </w:pPr>
      <w:r>
        <w:t>데이터 한계</w:t>
      </w:r>
    </w:p>
    <w:p>
      <w:pPr>
        <w:spacing w:after="80" w:line="269" w:lineRule="auto"/>
      </w:pPr>
      <w:r>
        <w:rPr>
          <w:rFonts w:ascii="Malgun Gothic" w:hAnsi="Malgun Gothic" w:eastAsia="Malgun Gothic"/>
          <w:b/>
          <w:color w:val="2F75B5"/>
          <w:sz w:val="18"/>
        </w:rPr>
        <w:t xml:space="preserve">[FACT] </w:t>
      </w:r>
      <w:r>
        <w:rPr>
          <w:rFonts w:ascii="Malgun Gothic" w:hAnsi="Malgun Gothic" w:eastAsia="Malgun Gothic"/>
          <w:b w:val="0"/>
          <w:color w:val="111111"/>
          <w:sz w:val="18"/>
        </w:rPr>
        <w:t>현지가격 수익률이라 배당과 FX는 제외된다. 현재 구성종목을 과거에 소급하므로 생존편향이 있다. 일본 시총은 9/2 mcap과 주가비율로 8/28을 역산했다.</w:t>
      </w:r>
    </w:p>
    <w:p>
      <w:pPr>
        <w:spacing w:after="80" w:line="269" w:lineRule="auto"/>
      </w:pPr>
      <w:r>
        <w:rPr>
          <w:rFonts w:ascii="Malgun Gothic" w:hAnsi="Malgun Gothic" w:eastAsia="Malgun Gothic"/>
          <w:b/>
          <w:color w:val="9C6500"/>
          <w:sz w:val="18"/>
        </w:rPr>
        <w:t xml:space="preserve">[INFERENCE] </w:t>
      </w:r>
      <w:r>
        <w:rPr>
          <w:rFonts w:ascii="Malgun Gothic" w:hAnsi="Malgun Gothic" w:eastAsia="Malgun Gothic"/>
          <w:b w:val="0"/>
          <w:color w:val="111111"/>
          <w:sz w:val="18"/>
        </w:rPr>
        <w:t>5일 이벤트 정렬은 인과의 필요조건을 점검하지만 정식 팩터 회귀는 아니다. 본 보고서의 인과 판정은 '산업생산 직접 원인 낮음, 할인율·금리 충격 높음' 수준으로 읽어야 한다.</w:t>
      </w:r>
    </w:p>
    <w:tbl>
      <w:tblPr>
        <w:tblW w:type="auto" w:w="0"/>
        <w:jc w:val="center"/>
        <w:tblLayout w:type="fixed"/>
        <w:tblLook w:firstColumn="1" w:firstRow="1" w:lastColumn="0" w:lastRow="0" w:noHBand="0" w:noVBand="1" w:val="04A0"/>
      </w:tblPr>
      <w:tblGrid>
        <w:gridCol w:w="10710"/>
      </w:tblGrid>
      <w:tr>
        <w:tc>
          <w:tcPr>
            <w:tcW w:type="dxa" w:w="10261"/>
            <w:shd w:fill="EAF2F8"/>
            <w:vAlign w:val="center"/>
          </w:tcPr>
          <w:p>
            <w:pPr>
              <w:spacing w:before="100" w:after="100"/>
              <w:ind w:left="68"/>
            </w:pPr>
            <w:r>
              <w:rPr>
                <w:rFonts w:ascii="Malgun Gothic" w:hAnsi="Malgun Gothic" w:eastAsia="Malgun Gothic"/>
                <w:b/>
                <w:color w:val="2F75B5"/>
                <w:sz w:val="19"/>
              </w:rPr>
              <w:t xml:space="preserve">최종 판단  </w:t>
            </w:r>
            <w:r>
              <w:rPr>
                <w:rFonts w:ascii="Malgun Gothic" w:hAnsi="Malgun Gothic" w:eastAsia="Malgun Gothic"/>
                <w:b w:val="0"/>
                <w:color w:val="111111"/>
                <w:sz w:val="19"/>
              </w:rPr>
              <w:t>유럽과 일본 모두 AI 관련 Capital Goods는 기타보다 나빴다. 일본은 AI 광의가 Capital Goods gross downside의 61.6%를 차지했다. 그러나 7월 산업생산은 일본에서 예상 상회했고 유럽에서는 가격 구간 뒤 발표됐다. 공통된 단기 촉매는 장기금리·유가·인플레이션이며, 산업생산은 비AI 제조업의 혼재된 중기 배경으로 보는 것이 가장 일관적이다.</w:t>
            </w:r>
          </w:p>
        </w:tc>
      </w:tr>
    </w:tbl>
    <w:p>
      <w:pPr>
        <w:spacing w:after="0"/>
      </w:pPr>
    </w:p>
    <w:p>
      <w:r>
        <w:br w:type="page"/>
      </w:r>
    </w:p>
    <w:p>
      <w:pPr>
        <w:pStyle w:val="Heading1"/>
        <w:keepNext/>
      </w:pPr>
      <w:r>
        <w:t>Sources &amp; Method</w:t>
      </w:r>
    </w:p>
    <w:p>
      <w:pPr>
        <w:pStyle w:val="Heading2"/>
        <w:keepNext/>
      </w:pPr>
      <w:r>
        <w:t>시장 데이터와 감사 추적</w:t>
      </w:r>
    </w:p>
    <w:p>
      <w:pPr>
        <w:keepNext w:val="0"/>
        <w:spacing w:after="80" w:line="269" w:lineRule="auto"/>
      </w:pPr>
      <w:r>
        <w:rPr>
          <w:rFonts w:ascii="Malgun Gothic" w:hAnsi="Malgun Gothic" w:eastAsia="Malgun Gothic"/>
          <w:b w:val="0"/>
          <w:color w:val="111111"/>
          <w:sz w:val="15"/>
        </w:rPr>
        <w:t>유럽: C:\Users\infomax\Documents\python\QAE\데일리시황\BQL\Theme\Sector_Industry\Reports\output\data\STOXX600_TOPIX_Sector_Industry_5D_20260904.json · STOXX600 SXXP Raw · 2026-08-28~09-04</w:t>
      </w:r>
    </w:p>
    <w:p>
      <w:pPr>
        <w:keepNext w:val="0"/>
        <w:spacing w:after="80" w:line="269" w:lineRule="auto"/>
      </w:pPr>
      <w:r>
        <w:rPr>
          <w:rFonts w:ascii="Malgun Gothic" w:hAnsi="Malgun Gothic" w:eastAsia="Malgun Gothic"/>
          <w:b w:val="0"/>
          <w:color w:val="111111"/>
          <w:sz w:val="15"/>
        </w:rPr>
        <w:t>일본: C:\Users\infomax\Documents\ChatGPT\컨텍스트매크로\artifacts\topix_industrials_ai\topix_capital_goods_basket_analysis_20260828_20260904.json · 현재 TOPIX 1,635종목 중 Capital Goods 293개 · 2026-08-28~09-04</w:t>
      </w:r>
    </w:p>
    <w:p>
      <w:pPr>
        <w:keepNext w:val="0"/>
        <w:spacing w:after="80" w:line="269" w:lineRule="auto"/>
      </w:pPr>
      <w:r>
        <w:rPr>
          <w:rFonts w:ascii="Malgun Gothic" w:hAnsi="Malgun Gothic" w:eastAsia="Malgun Gothic"/>
          <w:b w:val="0"/>
          <w:color w:val="111111"/>
          <w:sz w:val="15"/>
        </w:rPr>
        <w:t>TOPIX 공개종가 1,635/1,635 확보, 로컬 BQL 9/2~9/4 겹침 4,905건 대조. 중앙 절대오차 0, 최대 4.60e-08(비율).</w:t>
      </w:r>
    </w:p>
    <w:p>
      <w:pPr>
        <w:pStyle w:val="Heading2"/>
        <w:keepNext/>
      </w:pPr>
      <w:r>
        <w:t>일본 거시·시장</w:t>
      </w:r>
    </w:p>
    <w:p>
      <w:pPr>
        <w:pStyle w:val="ListBullet"/>
        <w:spacing w:after="40" w:line="240" w:lineRule="auto"/>
      </w:pPr>
      <w:hyperlink r:id="rId22">
        <w:r>
          <w:rPr>
            <w:rFonts w:ascii="Malgun Gothic" w:eastAsia="Malgun Gothic"/>
            <w:color w:val="0563C1"/>
            <w:u w:val="single"/>
          </w:rPr>
          <w:t>METI — Indices of Industrial Production</w:t>
        </w:r>
      </w:hyperlink>
      <w:r>
        <w:rPr>
          <w:rFonts w:ascii="Malgun Gothic" w:hAnsi="Malgun Gothic" w:eastAsia="Malgun Gothic"/>
          <w:b w:val="0"/>
          <w:color w:val="666666"/>
          <w:sz w:val="15"/>
        </w:rPr>
        <w:t xml:space="preserve"> — 7월 산업생산 공식 통계</w:t>
      </w:r>
    </w:p>
    <w:p>
      <w:pPr>
        <w:pStyle w:val="ListBullet"/>
        <w:spacing w:after="40" w:line="240" w:lineRule="auto"/>
      </w:pPr>
      <w:hyperlink r:id="rId23">
        <w:r>
          <w:rPr>
            <w:rFonts w:ascii="Malgun Gothic" w:eastAsia="Malgun Gothic"/>
            <w:color w:val="0563C1"/>
            <w:u w:val="single"/>
          </w:rPr>
          <w:t>Cabinet Office — June machinery orders</w:t>
        </w:r>
      </w:hyperlink>
      <w:r>
        <w:rPr>
          <w:rFonts w:ascii="Malgun Gothic" w:hAnsi="Malgun Gothic" w:eastAsia="Malgun Gothic"/>
          <w:b w:val="0"/>
          <w:color w:val="666666"/>
          <w:sz w:val="15"/>
        </w:rPr>
        <w:t xml:space="preserve"> — 핵심 수주 +9.7% m/m, 3Q 전망 +4.9%</w:t>
      </w:r>
    </w:p>
    <w:p>
      <w:pPr>
        <w:pStyle w:val="ListBullet"/>
        <w:spacing w:after="40" w:line="240" w:lineRule="auto"/>
      </w:pPr>
      <w:hyperlink r:id="rId24">
        <w:r>
          <w:rPr>
            <w:rFonts w:ascii="Malgun Gothic" w:eastAsia="Malgun Gothic"/>
            <w:color w:val="0563C1"/>
            <w:u w:val="single"/>
          </w:rPr>
          <w:t>BOJ Himino speech (2026-08-27)</w:t>
        </w:r>
      </w:hyperlink>
      <w:r>
        <w:rPr>
          <w:rFonts w:ascii="Malgun Gothic" w:hAnsi="Malgun Gothic" w:eastAsia="Malgun Gothic"/>
          <w:b w:val="0"/>
          <w:color w:val="666666"/>
          <w:sz w:val="15"/>
        </w:rPr>
        <w:t xml:space="preserve"> — AI 수요의 성장·물가 파급</w:t>
      </w:r>
    </w:p>
    <w:p>
      <w:pPr>
        <w:pStyle w:val="ListBullet"/>
        <w:spacing w:after="40" w:line="240" w:lineRule="auto"/>
      </w:pPr>
      <w:hyperlink r:id="rId25">
        <w:r>
          <w:rPr>
            <w:rFonts w:ascii="Malgun Gothic" w:eastAsia="Malgun Gothic"/>
            <w:color w:val="0563C1"/>
            <w:u w:val="single"/>
          </w:rPr>
          <w:t>BOJ Takata speech (2026-09-02)</w:t>
        </w:r>
      </w:hyperlink>
      <w:r>
        <w:rPr>
          <w:rFonts w:ascii="Malgun Gothic" w:hAnsi="Malgun Gothic" w:eastAsia="Malgun Gothic"/>
          <w:b w:val="0"/>
          <w:color w:val="666666"/>
          <w:sz w:val="15"/>
        </w:rPr>
        <w:t xml:space="preserve"> — 통화정책 정상화 발언</w:t>
      </w:r>
    </w:p>
    <w:p>
      <w:pPr>
        <w:pStyle w:val="ListBullet"/>
        <w:spacing w:after="40" w:line="240" w:lineRule="auto"/>
      </w:pPr>
      <w:hyperlink r:id="rId26">
        <w:r>
          <w:rPr>
            <w:rFonts w:ascii="Malgun Gothic" w:eastAsia="Malgun Gothic"/>
            <w:color w:val="0563C1"/>
            <w:u w:val="single"/>
          </w:rPr>
          <w:t>Reuters — BOJ must conduct rate hikes nimbly</w:t>
        </w:r>
      </w:hyperlink>
      <w:r>
        <w:rPr>
          <w:rFonts w:ascii="Malgun Gothic" w:hAnsi="Malgun Gothic" w:eastAsia="Malgun Gothic"/>
          <w:b w:val="0"/>
          <w:color w:val="666666"/>
          <w:sz w:val="15"/>
        </w:rPr>
        <w:t xml:space="preserve"> — 9/2 발언과 정책 배경</w:t>
      </w:r>
    </w:p>
    <w:p>
      <w:pPr>
        <w:pStyle w:val="ListBullet"/>
        <w:spacing w:after="40" w:line="240" w:lineRule="auto"/>
      </w:pPr>
      <w:hyperlink r:id="rId27">
        <w:r>
          <w:rPr>
            <w:rFonts w:ascii="Malgun Gothic" w:eastAsia="Malgun Gothic"/>
            <w:color w:val="0563C1"/>
            <w:u w:val="single"/>
          </w:rPr>
          <w:t>Reuters — Japan stocks, oil and bond yields</w:t>
        </w:r>
      </w:hyperlink>
      <w:r>
        <w:rPr>
          <w:rFonts w:ascii="Malgun Gothic" w:hAnsi="Malgun Gothic" w:eastAsia="Malgun Gothic"/>
          <w:b w:val="0"/>
          <w:color w:val="666666"/>
          <w:sz w:val="15"/>
        </w:rPr>
        <w:t xml:space="preserve"> — TOPIX -2.4%, JGB 10Y 3.015%</w:t>
      </w:r>
    </w:p>
    <w:p>
      <w:pPr>
        <w:pStyle w:val="ListBullet"/>
        <w:spacing w:after="40" w:line="240" w:lineRule="auto"/>
      </w:pPr>
      <w:hyperlink r:id="rId28">
        <w:r>
          <w:rPr>
            <w:rFonts w:ascii="Malgun Gothic" w:eastAsia="Malgun Gothic"/>
            <w:color w:val="0563C1"/>
            <w:u w:val="single"/>
          </w:rPr>
          <w:t>Reuters — Japan manufacturing PMI</w:t>
        </w:r>
      </w:hyperlink>
      <w:r>
        <w:rPr>
          <w:rFonts w:ascii="Malgun Gothic" w:hAnsi="Malgun Gothic" w:eastAsia="Malgun Gothic"/>
          <w:b w:val="0"/>
          <w:color w:val="666666"/>
          <w:sz w:val="15"/>
        </w:rPr>
        <w:t xml:space="preserve"> — PMI 54.9, AI·반도체 수요</w:t>
      </w:r>
    </w:p>
    <w:p>
      <w:pPr>
        <w:pStyle w:val="ListBullet"/>
        <w:spacing w:after="40" w:line="240" w:lineRule="auto"/>
      </w:pPr>
      <w:hyperlink r:id="rId29">
        <w:r>
          <w:rPr>
            <w:rFonts w:ascii="Malgun Gothic" w:eastAsia="Malgun Gothic"/>
            <w:color w:val="0563C1"/>
            <w:u w:val="single"/>
          </w:rPr>
          <w:t>TOPIX historical prices</w:t>
        </w:r>
      </w:hyperlink>
      <w:r>
        <w:rPr>
          <w:rFonts w:ascii="Malgun Gothic" w:hAnsi="Malgun Gothic" w:eastAsia="Malgun Gothic"/>
          <w:b w:val="0"/>
          <w:color w:val="666666"/>
          <w:sz w:val="15"/>
        </w:rPr>
        <w:t xml:space="preserve"> — 8/28 4,146.71 → 9/4 4,103.23</w:t>
      </w:r>
    </w:p>
    <w:p>
      <w:pPr>
        <w:pStyle w:val="Heading2"/>
        <w:keepNext/>
      </w:pPr>
      <w:r>
        <w:t>유럽 거시·시장</w:t>
      </w:r>
    </w:p>
    <w:p>
      <w:pPr>
        <w:pStyle w:val="ListBullet"/>
        <w:spacing w:after="40" w:line="240" w:lineRule="auto"/>
      </w:pPr>
      <w:hyperlink r:id="rId30">
        <w:r>
          <w:rPr>
            <w:rFonts w:ascii="Malgun Gothic" w:eastAsia="Malgun Gothic"/>
            <w:color w:val="0563C1"/>
            <w:u w:val="single"/>
          </w:rPr>
          <w:t>Destatis — German July industrial production</w:t>
        </w:r>
      </w:hyperlink>
      <w:r>
        <w:rPr>
          <w:rFonts w:ascii="Malgun Gothic" w:hAnsi="Malgun Gothic" w:eastAsia="Malgun Gothic"/>
          <w:b w:val="0"/>
          <w:color w:val="666666"/>
          <w:sz w:val="15"/>
        </w:rPr>
        <w:t xml:space="preserve"> — 9/7 발표, 전체 -1.1%, 자본재 -3.4%</w:t>
      </w:r>
    </w:p>
    <w:p>
      <w:pPr>
        <w:pStyle w:val="ListBullet"/>
        <w:spacing w:after="40" w:line="240" w:lineRule="auto"/>
      </w:pPr>
      <w:hyperlink r:id="rId31">
        <w:r>
          <w:rPr>
            <w:rFonts w:ascii="Malgun Gothic" w:eastAsia="Malgun Gothic"/>
            <w:color w:val="0563C1"/>
            <w:u w:val="single"/>
          </w:rPr>
          <w:t>Eurostat — Euro area June industrial production</w:t>
        </w:r>
      </w:hyperlink>
      <w:r>
        <w:rPr>
          <w:rFonts w:ascii="Malgun Gothic" w:hAnsi="Malgun Gothic" w:eastAsia="Malgun Gothic"/>
          <w:b w:val="0"/>
          <w:color w:val="666666"/>
          <w:sz w:val="15"/>
        </w:rPr>
        <w:t xml:space="preserve"> — 전체 0.0%, 자본재 -1.4%</w:t>
      </w:r>
    </w:p>
    <w:p>
      <w:pPr>
        <w:pStyle w:val="ListBullet"/>
        <w:spacing w:after="40" w:line="240" w:lineRule="auto"/>
      </w:pPr>
      <w:hyperlink r:id="rId32">
        <w:r>
          <w:rPr>
            <w:rFonts w:ascii="Malgun Gothic" w:eastAsia="Malgun Gothic"/>
            <w:color w:val="0563C1"/>
            <w:u w:val="single"/>
          </w:rPr>
          <w:t>Reuters — German August manufacturing PMI</w:t>
        </w:r>
      </w:hyperlink>
      <w:r>
        <w:rPr>
          <w:rFonts w:ascii="Malgun Gothic" w:hAnsi="Malgun Gothic" w:eastAsia="Malgun Gothic"/>
          <w:b w:val="0"/>
          <w:color w:val="666666"/>
          <w:sz w:val="15"/>
        </w:rPr>
        <w:t xml:space="preserve"> — PMI 54.3, 데이터센터 건설 언급</w:t>
      </w:r>
    </w:p>
    <w:p>
      <w:pPr>
        <w:pStyle w:val="ListBullet"/>
        <w:spacing w:after="40" w:line="240" w:lineRule="auto"/>
      </w:pPr>
      <w:hyperlink r:id="rId33">
        <w:r>
          <w:rPr>
            <w:rFonts w:ascii="Malgun Gothic" w:eastAsia="Malgun Gothic"/>
            <w:color w:val="0563C1"/>
            <w:u w:val="single"/>
          </w:rPr>
          <w:t>ifo — German export expectations</w:t>
        </w:r>
      </w:hyperlink>
      <w:r>
        <w:rPr>
          <w:rFonts w:ascii="Malgun Gothic" w:hAnsi="Malgun Gothic" w:eastAsia="Malgun Gothic"/>
          <w:b w:val="0"/>
          <w:color w:val="666666"/>
          <w:sz w:val="15"/>
        </w:rPr>
        <w:t xml:space="preserve"> — 전기장비·전자광학 낙관, AI 투자</w:t>
      </w:r>
    </w:p>
    <w:p>
      <w:pPr>
        <w:pStyle w:val="ListBullet"/>
        <w:spacing w:after="40" w:line="240" w:lineRule="auto"/>
      </w:pPr>
      <w:hyperlink r:id="rId34">
        <w:r>
          <w:rPr>
            <w:rFonts w:ascii="Malgun Gothic" w:eastAsia="Malgun Gothic"/>
            <w:color w:val="0563C1"/>
            <w:u w:val="single"/>
          </w:rPr>
          <w:t>Reuters — European yields and inflation</w:t>
        </w:r>
      </w:hyperlink>
      <w:r>
        <w:rPr>
          <w:rFonts w:ascii="Malgun Gothic" w:hAnsi="Malgun Gothic" w:eastAsia="Malgun Gothic"/>
          <w:b w:val="0"/>
          <w:color w:val="666666"/>
          <w:sz w:val="15"/>
        </w:rPr>
        <w:t xml:space="preserve"> — 독일 10년물 2011년 이후 최고</w:t>
      </w:r>
    </w:p>
    <w:sectPr w:rsidR="00FC693F" w:rsidRPr="0006063C" w:rsidSect="00034616">
      <w:headerReference w:type="default" r:id="rId9"/>
      <w:footerReference w:type="default" r:id="rId10"/>
      <w:pgSz w:w="12240" w:h="15840"/>
      <w:pgMar w:top="765" w:right="765" w:bottom="765" w:left="765"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b w:val="0"/>
        <w:color w:val="666666"/>
        <w:sz w:val="14"/>
      </w:rPr>
      <w:t xml:space="preserve">2026-09-08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b w:val="0"/>
        <w:color w:val="666666"/>
        <w:sz w:val="14"/>
      </w:rPr>
      <w:t>유럽·TOPIX · Industrials / Capital Goods · 5D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fujielectric.com/about/example/detail/solution_datacenter.html" TargetMode="External"/><Relationship Id="rId18" Type="http://schemas.openxmlformats.org/officeDocument/2006/relationships/hyperlink" Target="https://ebara.com/content/dam/ebara/grand-masters/entities/en/pdf/ir/business/vision/161_q4_e-plan2028_en.pdf.coredownload.pdf" TargetMode="External"/><Relationship Id="rId19" Type="http://schemas.openxmlformats.org/officeDocument/2006/relationships/hyperlink" Target="https://www.yaskawa-global.com/product/robotics" TargetMode="External"/><Relationship Id="rId20" Type="http://schemas.openxmlformats.org/officeDocument/2006/relationships/hyperlink" Target="https://www.daihen.co.jp/en/products/cleanrobot/wafer/" TargetMode="External"/><Relationship Id="rId21" Type="http://schemas.openxmlformats.org/officeDocument/2006/relationships/hyperlink" Target="https://www.fanuc.co.jp/en/profile/pr/newsrelease/2026/notice20260513.html" TargetMode="External"/><Relationship Id="rId22" Type="http://schemas.openxmlformats.org/officeDocument/2006/relationships/hyperlink" Target="https://www.meti.go.jp/english/statistics/tyo/iip/" TargetMode="External"/><Relationship Id="rId23" Type="http://schemas.openxmlformats.org/officeDocument/2006/relationships/hyperlink" Target="https://www.esri.cao.go.jp/en/stat/juchu/2026/2606juchu-e.html" TargetMode="External"/><Relationship Id="rId24" Type="http://schemas.openxmlformats.org/officeDocument/2006/relationships/hyperlink" Target="https://www.boj.or.jp/en/about/press/koen_2026/ko260827a.htm" TargetMode="External"/><Relationship Id="rId25" Type="http://schemas.openxmlformats.org/officeDocument/2006/relationships/hyperlink" Target="https://www.boj.or.jp/en/about/press/koen_2026/ko260902a.htm" TargetMode="External"/><Relationship Id="rId26" Type="http://schemas.openxmlformats.org/officeDocument/2006/relationships/hyperlink" Target="https://www.investing.com/news/economy-news/boj-must-conduct-rate-hikes-nimbly-hawkish-board-member-says-4885257" TargetMode="External"/><Relationship Id="rId27" Type="http://schemas.openxmlformats.org/officeDocument/2006/relationships/hyperlink" Target="https://www.indopremier.com/module/newsDetail.php?group_news=IPOTNEWS&amp;halaman=1&amp;jdl=Japan_stocks_end_lower_as_US_Iran_strikes_lift_oil__bond_yields&amp;name=&amp;news_id=237677&amp;q=japan+shares,+nikkei+225,+topix,&amp;search=y_general&amp;taging_subtype=MARKETOVERVIEW" TargetMode="External"/><Relationship Id="rId28" Type="http://schemas.openxmlformats.org/officeDocument/2006/relationships/hyperlink" Target="https://currently.att.yahoo.com/att/japan-manufacturing-business-rises-fastest-003441616.html" TargetMode="External"/><Relationship Id="rId29" Type="http://schemas.openxmlformats.org/officeDocument/2006/relationships/hyperlink" Target="https://ca.investing.com/indices/topix-historical-data" TargetMode="External"/><Relationship Id="rId30" Type="http://schemas.openxmlformats.org/officeDocument/2006/relationships/hyperlink" Target="https://www.destatis.de/EN/Press/2026/09/PE26_316_421.html" TargetMode="External"/><Relationship Id="rId31" Type="http://schemas.openxmlformats.org/officeDocument/2006/relationships/hyperlink" Target="https://ec.europa.eu/eurostat/web/products-euro-indicators/w/4-13082026-ap" TargetMode="External"/><Relationship Id="rId32" Type="http://schemas.openxmlformats.org/officeDocument/2006/relationships/hyperlink" Target="https://www.marketscreener.com/news/german-manufacturing-growth-accelerates-in-august-as-orders-surge-pmi-shows-ce7858dddc80fe2d" TargetMode="External"/><Relationship Id="rId33" Type="http://schemas.openxmlformats.org/officeDocument/2006/relationships/hyperlink" Target="https://www.ifo.de/en/press-release/2026-08-26/export-expectations-germany-rise-sharply-august-2026" TargetMode="External"/><Relationship Id="rId34" Type="http://schemas.openxmlformats.org/officeDocument/2006/relationships/hyperlink" Target="https://www.marketscreener.com/news/european-shares-hit-by-rising-bond-yields-energy-driven-inflation-concerns-ce7858d3db89f72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유럽·일본 Capital Goods 5D 비교: AI 약세와 산업생산 인과관계</dc:title>
  <dc:subject>STOXX Europe 600 and TOPIX capital goods attribution</dc:subject>
  <dc:creator>OpenAI Codex</dc:creator>
  <cp:keywords/>
  <dc:description>Data as of 2026-09-04; prepared 2026-09-08</dc:description>
  <cp:lastModifiedBy/>
  <cp:revision>1</cp:revision>
  <dcterms:created xsi:type="dcterms:W3CDTF">2013-12-23T23:15:00Z</dcterms:created>
  <dcterms:modified xsi:type="dcterms:W3CDTF">2013-12-23T23:15:00Z</dcterms:modified>
  <cp:category/>
</cp:coreProperties>
</file>