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30" w:before="14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40"/>
          <w:szCs w:val="40"/>
        </w:rPr>
        <w:t xml:space="preserve">STOXX Europe 600 섹터와 산업</w:t>
      </w:r>
    </w:p>
    <w:p>
      <w:pPr>
        <w:spacing w:after="21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28"/>
          <w:szCs w:val="28"/>
        </w:rPr>
        <w:t xml:space="preserve">최근 5거래일 로테이션과 내부 확산</w:t>
      </w:r>
    </w:p>
    <w:p>
      <w:pPr>
        <w:keepNext w:val="false"/>
        <w:spacing w:after="105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2026-08-28~2026-09-04 · 600개 원천 기준 구성종목 · 11개 GICS 섹터</w:t>
      </w:r>
    </w:p>
    <w:p>
      <w:pPr>
        <w:keepNext w:val="false"/>
        <w:spacing w:after="105" w:before="9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7"/>
          <w:szCs w:val="17"/>
        </w:rPr>
        <w:t xml:space="preserve">섹터 성과 · 산업그룹 리더십 · 섹터별 상승·하락 종목</w:t>
      </w:r>
    </w:p>
    <w:p>
      <w:r>
        <w:br w:type="page"/>
      </w:r>
    </w:p>
    <w:p>
      <w:pPr>
        <w:pStyle w:val="Heading1"/>
        <w:keepNext/>
        <w:spacing w:after="100" w:before="220"/>
      </w:pPr>
      <w:r>
        <w:t xml:space="preserve">Executive Summary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리더십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최근 5거래일 상위 섹터는 Energy +2.1%, Financials +0.3%, Materials -0.5%다. 하위는 Utilities -2.0%, Industrials -1.9%, Consumer Discretionary -1.6%다.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시장 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전체 종목 동일가중 수익률은 -0.9%, 상승 종목 비율은 37%다. 11개 섹터 중 2개가 상승했고, 2개는 상승 종목이 과반이었다.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회전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산업그룹 상위는 Energy +2.1%, Semiconductors &amp; Semiconductor Equipment +2.1%, Banks +2.0%다. 하위는 Software &amp; Services -3.9%, Consumer Durables &amp; Apparel -3.2%, Media &amp; Entertainment -2.5%다.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종목 선택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Information Technology의 5거래일 종목 수익률 분산이 +5.0%로 가장 컸다. 같은 섹터 안에서도 산업과 종목 선택의 영향이 상대적으로 큰 구간이다.</w:t>
      </w:r>
    </w:p>
    <w:p>
      <w:pPr>
        <w:pBdr>
          <w:left w:val="single" w:color="2F75B5" w:sz="18"/>
        </w:pBdr>
        <w:shd w:fill="EAF2F8" w:val="clear"/>
        <w:spacing w:after="130" w:before="90" w:line="286"/>
        <w:ind w:left="150" w:right="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발표 핵심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Energy의 강세가 75% breadth로 뒷받침되는지, Utilities의 약세가 특정 산업그룹에 집중됐는지를 먼저 확인한다.</w:t>
      </w:r>
    </w:p>
    <w:p>
      <w:pPr>
        <w:pStyle w:val="Heading1"/>
        <w:keepNext/>
        <w:spacing w:after="100" w:before="220"/>
      </w:pPr>
      <w:r>
        <w:t xml:space="preserve">전체 섹터 성과표</w:t>
      </w:r>
    </w:p>
    <w:tbl>
      <w:tblPr>
        <w:tblW w:type="dxa" w:w="910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2100"/>
        <w:gridCol w:w="600"/>
        <w:gridCol w:w="700"/>
        <w:gridCol w:w="920"/>
        <w:gridCol w:w="920"/>
        <w:gridCol w:w="920"/>
        <w:gridCol w:w="920"/>
        <w:gridCol w:w="920"/>
        <w:gridCol w:w="1100"/>
      </w:tblGrid>
      <w:tr>
        <w:trPr>
          <w:cantSplit/>
          <w:tblHeader/>
        </w:trPr>
        <w:tc>
          <w:tcPr>
            <w:tcW w:type="dxa" w:w="21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섹터</w:t>
            </w:r>
          </w:p>
        </w:tc>
        <w:tc>
          <w:tcPr>
            <w:tcW w:type="dxa" w:w="6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산업그룹</w:t>
            </w:r>
          </w:p>
        </w:tc>
        <w:tc>
          <w:tcPr>
            <w:tcW w:type="dxa" w:w="92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5D 평균</w:t>
            </w:r>
          </w:p>
        </w:tc>
        <w:tc>
          <w:tcPr>
            <w:tcW w:type="dxa" w:w="92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중앙값</w:t>
            </w:r>
          </w:p>
        </w:tc>
        <w:tc>
          <w:tcPr>
            <w:tcW w:type="dxa" w:w="92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상승 비율</w:t>
            </w:r>
          </w:p>
        </w:tc>
        <w:tc>
          <w:tcPr>
            <w:tcW w:type="dxa" w:w="92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분산</w:t>
            </w:r>
          </w:p>
        </w:tc>
        <w:tc>
          <w:tcPr>
            <w:tcW w:type="dxa" w:w="92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시장 대비</w:t>
            </w:r>
          </w:p>
        </w:tc>
        <w:tc>
          <w:tcPr>
            <w:tcW w:type="dxa" w:w="11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Energy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+2.1%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+2.3%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75%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+2.5%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+3.1%p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강세 확산</w:t>
            </w:r>
          </w:p>
        </w:tc>
      </w:tr>
      <w:tr>
        <w:trPr>
          <w:cantSplit/>
        </w:trPr>
        <w:tc>
          <w:tcPr>
            <w:tcW w:type="dxa" w:w="2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Financials</w:t>
            </w:r>
          </w:p>
        </w:tc>
        <w:tc>
          <w:tcPr>
            <w:tcW w:type="dxa" w:w="6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126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+0.3%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+0.7%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+2.7%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+1.2%p</w:t>
            </w:r>
          </w:p>
        </w:tc>
        <w:tc>
          <w:tcPr>
            <w:tcW w:type="dxa" w:w="1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강세 확산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Materials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47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-0.5%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-0.8%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38%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+2.5%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+0.4%p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상대 강세 집중</w:t>
            </w:r>
          </w:p>
        </w:tc>
      </w:tr>
      <w:tr>
        <w:trPr>
          <w:cantSplit/>
        </w:trPr>
        <w:tc>
          <w:tcPr>
            <w:tcW w:type="dxa" w:w="2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Consumer Staples</w:t>
            </w:r>
          </w:p>
        </w:tc>
        <w:tc>
          <w:tcPr>
            <w:tcW w:type="dxa" w:w="6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44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-0.9%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-0.9%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34%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+2.8%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+0.1%p</w:t>
            </w:r>
          </w:p>
        </w:tc>
        <w:tc>
          <w:tcPr>
            <w:tcW w:type="dxa" w:w="1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상대 강세 집중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Communication Services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29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-1.0%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-0.9%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28%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+2.4%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-0.1%p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  <w:tr>
        <w:trPr>
          <w:cantSplit/>
        </w:trPr>
        <w:tc>
          <w:tcPr>
            <w:tcW w:type="dxa" w:w="2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Information Technology</w:t>
            </w:r>
          </w:p>
        </w:tc>
        <w:tc>
          <w:tcPr>
            <w:tcW w:type="dxa" w:w="6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-1.2%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-1.6%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28%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+5.0%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-0.3%p</w:t>
            </w:r>
          </w:p>
        </w:tc>
        <w:tc>
          <w:tcPr>
            <w:tcW w:type="dxa" w:w="1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Health Care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46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-1.5%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-1.3%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24%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+2.4%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-0.6%p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  <w:tr>
        <w:trPr>
          <w:cantSplit/>
        </w:trPr>
        <w:tc>
          <w:tcPr>
            <w:tcW w:type="dxa" w:w="2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Real Estate</w:t>
            </w:r>
          </w:p>
        </w:tc>
        <w:tc>
          <w:tcPr>
            <w:tcW w:type="dxa" w:w="6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27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-1.6%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-1.6%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19%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+2.1%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-0.6%p</w:t>
            </w:r>
          </w:p>
        </w:tc>
        <w:tc>
          <w:tcPr>
            <w:tcW w:type="dxa" w:w="1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Consumer Discretionary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58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-1.6%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-1.4%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33%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+3.0%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-0.7%p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  <w:tr>
        <w:trPr>
          <w:cantSplit/>
        </w:trPr>
        <w:tc>
          <w:tcPr>
            <w:tcW w:type="dxa" w:w="2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Industrials</w:t>
            </w:r>
          </w:p>
        </w:tc>
        <w:tc>
          <w:tcPr>
            <w:tcW w:type="dxa" w:w="6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135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-1.9%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-2.0%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25%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+2.6%</w:t>
            </w:r>
          </w:p>
        </w:tc>
        <w:tc>
          <w:tcPr>
            <w:tcW w:type="dxa" w:w="92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-0.9%p</w:t>
            </w:r>
          </w:p>
        </w:tc>
        <w:tc>
          <w:tcPr>
            <w:tcW w:type="dxa" w:w="11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Utilities</w:t>
            </w:r>
          </w:p>
        </w:tc>
        <w:tc>
          <w:tcPr>
            <w:tcW w:type="dxa" w:w="6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-2.0%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-2.0%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19%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+2.3%</w:t>
            </w:r>
          </w:p>
        </w:tc>
        <w:tc>
          <w:tcPr>
            <w:tcW w:type="dxa" w:w="92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-1.1%p</w:t>
            </w:r>
          </w:p>
        </w:tc>
        <w:tc>
          <w:tcPr>
            <w:tcW w:type="dxa" w:w="11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약세 확산</w:t>
            </w:r>
          </w:p>
        </w:tc>
      </w:tr>
    </w:tbl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정렬 기준은 최근 5거래일 동일가중 평균 수익률이다. 분산은 섹터 내 유효 종목 수익률의 표준편차, 시장 대비는 전체 유효 종목 동일가중 수익률과의 차이다.</w:t>
      </w:r>
    </w:p>
    <w:p>
      <w:r>
        <w:br w:type="page"/>
      </w:r>
    </w:p>
    <w:p>
      <w:pPr>
        <w:pStyle w:val="Heading1"/>
        <w:keepNext/>
        <w:spacing w:after="100" w:before="220"/>
      </w:pPr>
      <w:r>
        <w:t xml:space="preserve">섹터 로테이션</w:t>
      </w:r>
    </w:p>
    <w:p>
      <w:pPr>
        <w:spacing w:after="55" w:before="60"/>
        <w:jc w:val="center"/>
      </w:pPr>
      <w:r>
        <w:drawing>
          <wp:inline distT="0" distB="0" distL="0" distR="0">
            <wp:extent cx="6572250" cy="3629025"/>
            <wp:effectExtent t="0" r="0" b="0" l="0"/>
            <wp:docPr id="1" name="stoxx600_sector_return_5d_20260904.png" descr="stoxx600_sector_return_5d_20260904.png" title="stoxx600_sector_return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1. 섹터별 최근 5거래일 동일가중 평균 수익률</w:t>
      </w:r>
    </w:p>
    <w:p>
      <w:pPr>
        <w:spacing w:after="55" w:before="60"/>
        <w:jc w:val="center"/>
      </w:pPr>
      <w:r>
        <w:drawing>
          <wp:inline distT="0" distB="0" distL="0" distR="0">
            <wp:extent cx="6572250" cy="3629025"/>
            <wp:effectExtent t="0" r="0" b="0" l="0"/>
            <wp:docPr id="1" name="stoxx600_sector_breadth_5d_20260904.png" descr="stoxx600_sector_breadth_5d_20260904.png" title="stoxx600_sector_breadth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2. 섹터별 상승 종목 비율</w:t>
      </w:r>
    </w:p>
    <w:p>
      <w:r>
        <w:br w:type="page"/>
      </w:r>
    </w:p>
    <w:p>
      <w:pPr>
        <w:pStyle w:val="Heading1"/>
        <w:keepNext/>
        <w:spacing w:after="100" w:before="220"/>
      </w:pPr>
      <w:r>
        <w:t xml:space="preserve">Key Findings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9"/>
          <w:szCs w:val="19"/>
        </w:rPr>
        <w:t xml:space="preserve">1. 상위 섹터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Energy가 +2.1%로 선두이며 시장 대비 +3.1%p다. 내부 상승 breadth는 75%로 강세 확산으로 분류된다.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9"/>
          <w:szCs w:val="19"/>
        </w:rPr>
        <w:t xml:space="preserve">2. 하위 섹터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Utilities는 -2.0%로 최하위이며 시장 대비 -1.1%p다. 내부 상승 breadth는 19%다.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9"/>
          <w:szCs w:val="19"/>
        </w:rPr>
        <w:t xml:space="preserve">3. 섹터 간 스프레드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선두와 최하위 섹터의 수익률 차이는 +4.2%p다. 스프레드가 크면서 breadth까지 엇갈릴수록 단기 로테이션 신호가 선명하다.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9"/>
          <w:szCs w:val="19"/>
        </w:rPr>
        <w:t xml:space="preserve">4. 해석 순서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섹터 평균의 방향, 상승 종목 비율, 산업그룹 간 스프레드, 개별 종목의 극단값 순으로 확인한다. 평균만 강하고 breadth가 약하면 소수 종목 주도로 해석한다.</w:t>
      </w:r>
    </w:p>
    <w:p>
      <w:pPr>
        <w:spacing w:after="55" w:before="60"/>
        <w:jc w:val="center"/>
      </w:pPr>
      <w:r>
        <w:drawing>
          <wp:inline distT="0" distB="0" distL="0" distR="0">
            <wp:extent cx="5534025" cy="4095750"/>
            <wp:effectExtent t="0" r="0" b="0" l="0"/>
            <wp:docPr id="1" name="stoxx600_industry_rotation_5d_20260904.png" descr="stoxx600_industry_rotation_5d_20260904.png" title="stoxx600_industry_rotation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3. GICS 산업그룹 상위 8개와 하위 8개</w:t>
      </w:r>
    </w:p>
    <w:p>
      <w:pPr>
        <w:pStyle w:val="Heading1"/>
        <w:keepNext/>
        <w:spacing w:after="100" w:before="220"/>
      </w:pPr>
      <w:r>
        <w:t xml:space="preserve">섹터별 상세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각 섹터에서 산업그룹 성과와 내부 확산을 먼저 보고, 상승·하락 종목은 각각 최대 8개만 표시한다.</w:t>
      </w:r>
    </w:p>
    <w:p>
      <w:r>
        <w:br w:type="page"/>
      </w:r>
    </w:p>
    <w:p>
      <w:pPr>
        <w:pStyle w:val="Heading1"/>
        <w:keepNext/>
        <w:spacing w:after="100" w:before="220"/>
      </w:pPr>
      <w:r>
        <w:t xml:space="preserve">1. Energy · 강세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+2.1%, 중앙값 +2.3%, 시장 대비 +3.1%p다. 상승 종목 비율은 75%, 유효 표본은 24개다.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Energy 단일 산업그룹으로 구성돼 산업 간 상대비교는 하지 않는다. 해당 산업그룹의 수익률은 +2.1%다.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시장 대비 초과수익과 과반 상승 breadth가 함께 나타나 섹터 내부 확산이 확인된다.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6429375" cy="2505075"/>
            <wp:effectExtent t="0" r="0" b="0" l="0"/>
            <wp:docPr id="1" name="stoxx600_energy_industries_5d_20260904.png" descr="stoxx600_energy_industries_5d_20260904.png" title="stoxx600_energy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4. Energy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Energy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24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6"/>
                <w:szCs w:val="16"/>
              </w:rPr>
              <w:t xml:space="preserve">+2.1%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+2.3%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75%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+0.0%p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ORLEN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PKN PW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+6.8%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Saipem SpA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SPM IM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-2.5%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TGS ASA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TGS NO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+6.3%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Galp Energia SGPS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GALP PL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-1.5%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Vallourec SACA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VK FP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Subsea 7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SUBC NO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-1.4%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Frontline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FRO NO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+4.8%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DCC Energy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DCC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-1.0%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BP PLC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BP/ LN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+4.5%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Technip Energies NV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 FP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-0.9%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Repsol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REP SQ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+4.3%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Bollore SE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BOL FP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-0.8%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Tenaris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TEN IM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Var Energi ASA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VAR NO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Energy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+3.9%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2. Financials · 강세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+0.3%, 중앙값 +0.7%, 시장 대비 +1.2%p다. 상승 종목 비율은 60%, 유효 표본은 126개다.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3개 산업그룹 중 Banks가 +2.0%로 가장 강했고, Financial Services가 -1.9%로 가장 약했다. 산업 간 스프레드는 +4.0%p다.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시장 대비 초과수익과 과반 상승 breadth가 함께 나타나 섹터 내부 확산이 확인된다.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6429375" cy="2505075"/>
            <wp:effectExtent t="0" r="0" b="0" l="0"/>
            <wp:docPr id="1" name="stoxx600_financials_industries_5d_20260904.png" descr="stoxx600_financials_industries_5d_20260904.png" title="stoxx600_financial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5. Financials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Banks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52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6"/>
                <w:szCs w:val="16"/>
              </w:rPr>
              <w:t xml:space="preserve">+2.0%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+2.0%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88%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+1.8%p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Insurance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30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6"/>
                <w:szCs w:val="16"/>
              </w:rPr>
              <w:t xml:space="preserve">+0.5%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+0.4%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60%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+0.2%p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Financial Services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44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-1.9%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-2.1%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27%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-2.2%p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Bank of Ireland Group PLC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BIRG ID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Banks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Partners Group Holding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PGHN SE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-9.6%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AIB Group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AIBG ID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Banks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+5.9%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Bridgepoint Group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BPT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-5.9%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Banque Cantonale Vaudoise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BCVN SE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Banks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+5.2%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Adyen NV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ADYEN NA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-5.9%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ING Groep NV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INGA NA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Banks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+5.1%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CVC Capital Partners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CVC NA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-5.7%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mBank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MBK PW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Banks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+4.7%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EQT AB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EQT SS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-5.6%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Erste Bank Polska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EBP PW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Banks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+4.3%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Admiral Group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ADM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Insurance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-5.6%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Powszechny Zaklad Ubezpieczen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PZU PW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Insurance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+4.1%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flatexDEGIRO SE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FTK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Bank Polska Kasa Opieki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PEO PW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Banks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+4.0%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IG Group Holdings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IGG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Financial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-5.0%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3. Materials · 상대 강세 집중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-0.5%, 중앙값 -0.8%, 시장 대비 +0.4%p다. 상승 종목 비율은 38%, 유효 표본은 47개다.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Materials 단일 산업그룹으로 구성돼 산업 간 상대비교는 하지 않는다. 해당 산업그룹의 수익률은 -0.5%다.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섹터 평균은 시장을 웃돌지만 상승 종목이 과반에 못 미쳐 일부 대형 움직임에 집중됐을 가능성이 높다.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6429375" cy="2505075"/>
            <wp:effectExtent t="0" r="0" b="0" l="0"/>
            <wp:docPr id="1" name="stoxx600_materials_industries_5d_20260904.png" descr="stoxx600_materials_industries_5d_20260904.png" title="stoxx600_material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6. Materials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Materials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47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-0.5%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-0.8%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38%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+0.0%p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FUCHS SE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FPE3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+6.7%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Novonesis Novozymes B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NSISB DC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ArcelorMittal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MT NA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+4.1%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Croda International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CRDA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-5.1%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thyssenkrupp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TKA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+3.2%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Boliden AB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BOL SS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Yara International ASA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YAR NO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+3.1%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Antofagasta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ANTO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-3.5%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K+S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SDF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+3.1%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Umicore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UMI BB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-3.4%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Acerinox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ACX SQ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+2.7%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Anglo American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AAL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Svenska Cellulosa AB SCA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SCAB SS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+2.3%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Aurubis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NDA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SSAB AB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SSABB SS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+2.0%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Symrise AG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SY1 GY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Materials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-2.7%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4. Consumer Staples · 상대 강세 집중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-0.9%, 중앙값 -0.9%, 시장 대비 +0.1%p다. 상승 종목 비율은 34%, 유효 표본은 44개다.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3개 산업그룹 중 Consumer Staples Distribution &amp; Retail가 +1.6%로 가장 강했고, Food, Beverage &amp; Tobacco가 -1.7%로 가장 약했다. 산업 간 스프레드는 +3.2%p다.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섹터 평균은 시장을 웃돌지만 상승 종목이 과반에 못 미쳐 일부 대형 움직임에 집중됐을 가능성이 높다.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6429375" cy="2505075"/>
            <wp:effectExtent t="0" r="0" b="0" l="0"/>
            <wp:docPr id="1" name="stoxx600_consumer_staples_industries_5d_20260904.png" descr="stoxx600_consumer_staples_industries_5d_20260904.png" title="stoxx600_consumer_staple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7. Consumer Staples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Consumer Staples Distribution &amp; Retail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6"/>
                <w:szCs w:val="16"/>
              </w:rPr>
              <w:t xml:space="preserve">+1.6%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+1.6%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80%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+2.5%p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Household &amp; Personal Products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-1.4%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-0.8%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-0.5%p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Food, Beverage &amp; Tobacco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27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-1.7%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-1.4%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22%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-0.8%p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Carrefour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 FP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Staples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Bakkafrost P/F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BAKKA NO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-11.1%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AAK AB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AAK SS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Beiersdorf AG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BEI GY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Household &amp; Personal Products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-4.9%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Koninklijke Ahold Delhaize NV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AD NA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Staples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+3.6%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Lotus Bakeries NV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LOTB BB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-4.4%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Tesco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TSCO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Staples Distribution &amp; Retail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Salmar ASA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SALM NO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-4.3%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Dino Polska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DNP PW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Staples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+1.9%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Magnum Ice Cream Co NV/The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MICC NA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-3.9%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J Sainsbury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SBRY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Staples Distribution &amp; Retail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+1.8%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Diageo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DGE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-3.4%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Jeronimo Martins SGPS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JMT PL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Staples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Cranswick PLC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CWK LN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-3.4%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Anheuser-Busch InBev SA/NV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ABI BB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+1.1%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Chocoladefabriken Lindt &amp; Spru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LISP SE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Food, Beverage &amp; Tobacco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-3.0%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5. Communication Services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-1.0%, 중앙값 -0.9%, 시장 대비 -0.1%p다. 상승 종목 비율은 28%, 유효 표본은 29개다.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2개 산업그룹 중 Telecommunication Services가 +0.1%로 가장 강했고, Media &amp; Entertainment가 -2.5%로 가장 약했다. 산업 간 스프레드는 +2.6%p다.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6429375" cy="2505075"/>
            <wp:effectExtent t="0" r="0" b="0" l="0"/>
            <wp:docPr id="1" name="stoxx600_communication_services_industries_5d_20260904.png" descr="stoxx600_communication_services_industries_5d_20260904.png" title="stoxx600_communication_service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8. Communication Services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Telecommunication Services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17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6"/>
                <w:szCs w:val="16"/>
              </w:rPr>
              <w:t xml:space="preserve">+0.1%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-0.4%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41%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+1.1%p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Media &amp; Entertainment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-2.5%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-2.6%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8%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-1.5%p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Vodafone Group PLC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VOD LN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Telecommunication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+5.6%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Scout24 SE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G24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-5.4%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Airtel Africa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AAF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Telecommunication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Autotrader Group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AUTO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Telia Co AB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TELIA SS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Telecommunication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+1.6%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Rightmove PLC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RMV LN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Telefonica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TEF SQ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Telecommunication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Universal Music Group NV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UMG NA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-4.1%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Orange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ORA FP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Telecommunication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SES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SESG FP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-3.5%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Informa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INF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+0.7%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Sunrise Communications AG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SUNN SE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Telecommunication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-2.9%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Swisscom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SCMN SE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Telecommunication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Vend Marketplaces ASA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VEND NO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-2.8%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Zegona Communications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ZEG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Telecommunication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+0.3%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WPP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WPP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Media &amp; Entertainment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-2.4%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6. Information Technology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-1.2%, 중앙값 -1.6%, 시장 대비 -0.3%p다. 상승 종목 비율은 28%, 유효 표본은 32개다.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3개 산업그룹 중 Semiconductors &amp; Semiconductor Equipment가 +2.1%로 가장 강했고, Software &amp; Services가 -3.9%로 가장 약했다. 산업 간 스프레드는 +6.0%p다.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수익률 분산도 시장 전체보다 커 개별 종목 선택의 영향이 컸다.</w:t>
      </w:r>
    </w:p>
    <w:p>
      <w:pPr>
        <w:spacing w:after="55" w:before="60"/>
        <w:jc w:val="center"/>
      </w:pPr>
      <w:r>
        <w:drawing>
          <wp:inline distT="0" distB="0" distL="0" distR="0">
            <wp:extent cx="6429375" cy="2505075"/>
            <wp:effectExtent t="0" r="0" b="0" l="0"/>
            <wp:docPr id="1" name="stoxx600_information_technology_industries_5d_20260904.png" descr="stoxx600_information_technology_industries_5d_20260904.png" title="stoxx600_information_technology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9. Information Technology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Semiconductors &amp; Semiconductor Equipment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6"/>
                <w:szCs w:val="16"/>
              </w:rPr>
              <w:t xml:space="preserve">+2.1%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-0.4%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33%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+3.3%p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Technology Hardware &amp; Equipment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-0.7%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-0.6%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50%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+0.5%p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Software &amp; Services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13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-3.9%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-3.7%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8%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-2.7%p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SOITEC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SOI FP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Semiconductors &amp; Semiconductor Equipment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+18.8%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Nemetschek SE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NEM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-10.7%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AT&amp;S Austria Technologie &amp; Sys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ATS AV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Technology Hardware &amp; Equipment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+7.3%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Dassault Systemes SE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DSY FP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-9.0%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STMicroelectronics NV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STMMI IM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Semiconductors &amp; Semiconductor Equipment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Mycronic AB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MYCR SS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Technology Hardware &amp; Equipment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Logitech International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LOGN SE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Technology Hardware &amp; Equipment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+2.8%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Indra Sistemas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IDR SQ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-5.1%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Inficon Holding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IFCN SE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Technology Hardware &amp; Equipment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+1.3%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Bechtle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BC8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-4.6%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Nordic Semiconductor ASA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NOD NO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Semiconductors &amp; Semiconductor Equipment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+0.9%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Nokia Oyj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NOKIA FH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Technology Hardware &amp; Equipment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-4.5%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Asseco Poland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ACP PW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+0.7%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Sage Group PLC/The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SGE LN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Software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-4.1%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Telefonaktiebolaget LM Ericsso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ERICB SS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Technology Hardware &amp; Equipment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Hexagon AB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HEXAB SS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Technology Hardware &amp; Equipment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-3.9%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7. Health Care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-1.5%, 중앙값 -1.3%, 시장 대비 -0.6%p다. 상승 종목 비율은 24%, 유효 표본은 46개다.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2개 산업그룹 중 Health Care Equipment &amp; Services가 -1.5%로 가장 강했고, Pharmaceuticals, Biotechnology &amp; Life Sciences가 -1.5%로 가장 약했다. 산업 간 스프레드는 +0.1%p다.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6429375" cy="2505075"/>
            <wp:effectExtent t="0" r="0" b="0" l="0"/>
            <wp:docPr id="1" name="stoxx600_health_care_industries_5d_20260904.png" descr="stoxx600_health_care_industries_5d_20260904.png" title="stoxx600_health_care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10. Health Care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Health Care Equipment &amp; Services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16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-1.5%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-1.3%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19%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+0.0%p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Pharmaceuticals, Biotechnology &amp; Life Sciences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30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-1.5%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-0.9%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27%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-0.0%p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Novartis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NOVN SE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Galderma Group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GALD SE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-7.5%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Demant A/S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DEMANT DC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+2.2%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EssilorLuxottica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EL FP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-7.2%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Sectra AB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SECTB SS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+1.2%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Sartorius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SRT3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-6.4%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Novo Nordisk A/S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NOVOB DC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+1.2%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Siegfried Holding AG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SFZN SE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-5.2%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Ipsen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IPN FP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Fresenius SE &amp; Co KGaA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FRE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-4.9%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Straumann Holding AG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STMN SE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Health Care Equipment &amp;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Haleon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HLN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-4.6%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Eurofins Scientific SE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ERF FP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+0.5%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Financiere de Tubize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TUB BB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Genmab A/S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GMAB DC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+0.4%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Sartorius Stedim Biotech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DIM FP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Pharmaceuticals, Biotechnology &amp; Life Sciences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-3.7%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8. Real Estate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-1.6%, 중앙값 -1.6%, 시장 대비 -0.6%p다. 상승 종목 비율은 19%, 유효 표본은 27개다.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2개 산업그룹 중 Real Estate Management &amp; Development가 -0.9%로 가장 강했고, Equity Real Estate Investment Trusts (REITs)가 -2.0%로 가장 약했다. 산업 간 스프레드는 +1.1%p다.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6429375" cy="2505075"/>
            <wp:effectExtent t="0" r="0" b="0" l="0"/>
            <wp:docPr id="1" name="stoxx600_real_estate_industries_5d_20260904.png" descr="stoxx600_real_estate_industries_5d_20260904.png" title="stoxx600_real_estate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11. Real Estate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Real Estate Management &amp; Development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-0.9%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-0.6%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27%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+0.7%p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Equity Real Estate Investment Trusts (REITs)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16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-2.0%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-2.1%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13%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-0.5%p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Sagax AB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SAGAB SS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+4.8%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TAG Immobilien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TEG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-6.0%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Warehouses De Pauw CVA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WDP BB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Equity Real Estate Investment Trusts (REITs)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+1.4%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Derwent London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DLN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Equity Real Estate Investment Trusts (REITs)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-4.6%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Fastighets AB Balder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BALDB SS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+0.8%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UNITE Group PLC/The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UTG LN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Equity Real Estate Investment Trusts (REITs)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-4.3%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Klepierre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LI FP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Equity Real Estate Investment Trusts (REITs)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Land Securities Group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LAND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Equity Real Estate Investment Trusts (REITs)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Mobimo Holding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MOBN SE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+0.2%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Vonovia SE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VNA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Real Estate Management &amp; Development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-3.5%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LondonMetric Property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LMP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Equity Real Estate Investment Trusts (REITs)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Gecina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GFC FP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Equity Real Estate Investment Trusts (REITs)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-2.6%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Tritax Big Box REIT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BBOX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Equity Real Estate Investment Trusts (REITs)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-2.6%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9. Consumer Discretionary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-1.6%, 중앙값 -1.4%, 시장 대비 -0.7%p다. 상승 종목 비율은 33%, 유효 표본은 58개다.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4개 산업그룹 중 Automobiles &amp; Components가 +1.0%로 가장 강했고, Consumer Durables &amp; Apparel가 -3.2%로 가장 약했다. 산업 간 스프레드는 +4.2%p다.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수익률 분산도 시장 전체보다 커 개별 종목 선택의 영향이 컸다.</w:t>
      </w:r>
    </w:p>
    <w:p>
      <w:pPr>
        <w:spacing w:after="55" w:before="60"/>
        <w:jc w:val="center"/>
      </w:pPr>
      <w:r>
        <w:drawing>
          <wp:inline distT="0" distB="0" distL="0" distR="0">
            <wp:extent cx="6429375" cy="2505075"/>
            <wp:effectExtent t="0" r="0" b="0" l="0"/>
            <wp:docPr id="1" name="stoxx600_consumer_discretionary_industries_5d_20260904.png" descr="stoxx600_consumer_discretionary_industries_5d_20260904.png" title="stoxx600_consumer_discretionary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12. Consumer Discretionary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Automobiles &amp; Components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13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6"/>
                <w:szCs w:val="16"/>
              </w:rPr>
              <w:t xml:space="preserve">+1.0%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+1.3%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69%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+2.6%p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Consumer Services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13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-1.5%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-0.9%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31%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+0.1%p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Consumer Discretionary Distribution &amp; Retail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-1.7%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-1.7%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25%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-0.1%p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Consumer Durables &amp; Apparel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20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-3.2%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-3.3%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-1.6%p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Volkswagen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VOW3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Automobiles &amp; Components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Brunello Cucinelli SpA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BC IM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Durables &amp; Apparel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-9.1%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Aumovio SE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AMV0 GY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Automobiles &amp; Components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+4.3%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Hermes International SCA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RMS FP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Durables &amp; Apparel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-8.8%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Valeo SE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FR FP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Automobiles &amp; Components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+2.6%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Puma SE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PUM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Durables &amp; Apparel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-7.0%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Entain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ENT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+2.4%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LVMH Moet Hennessy Louis Vuitt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MC FP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Durables &amp; Apparel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-6.3%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LPP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LPP PW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Durables &amp; Apparel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+2.3%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JD Sports Fashion PLC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JD/ LN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Discretionary Distribution &amp; Retail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-5.4%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Stellantis NV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STLAM IM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Automobiles &amp; Components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+2.3%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Lottomatica Group Spa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LTMC IM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-5.2%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Continental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Automobiles &amp; Components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+2.2%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Cie Financiere Richemont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CFR SE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Durables &amp; Apparel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-4.9%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D'ieteren Group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DIE BB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Discretionary Distribution &amp; Retail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+2.2%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Pearson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PSON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Consumer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-4.9%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10. Industrials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-1.9%, 중앙값 -2.0%, 시장 대비 -0.9%p다. 상승 종목 비율은 25%, 유효 표본은 135개다.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3개 산업그룹 중 Transportation가 -1.2%로 가장 강했고, Capital Goods가 -2.0%로 가장 약했다. 산업 간 스프레드는 +0.8%p다.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6429375" cy="2505075"/>
            <wp:effectExtent t="0" r="0" b="0" l="0"/>
            <wp:docPr id="1" name="stoxx600_industrials_industries_5d_20260904.png" descr="stoxx600_industrials_industries_5d_20260904.png" title="stoxx600_industrial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13. Industrials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Transportation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-1.2%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-1.4%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29%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+0.7%p</w:t>
            </w:r>
          </w:p>
        </w:tc>
      </w:tr>
      <w:tr>
        <w:trPr>
          <w:cantSplit/>
        </w:trPr>
        <w:tc>
          <w:tcPr>
            <w:tcW w:type="dxa" w:w="30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Commercial &amp; Professional Services</w:t>
            </w:r>
          </w:p>
        </w:tc>
        <w:tc>
          <w:tcPr>
            <w:tcW w:type="dxa" w:w="6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21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-1.7%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-1.9%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24%</w:t>
            </w:r>
          </w:p>
        </w:tc>
        <w:tc>
          <w:tcPr>
            <w:tcW w:type="dxa" w:w="12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+0.2%p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Capital Goods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100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-2.0%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-2.0%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25%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-0.1%p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Aker ASA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AKER NO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CSG NV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CSG NA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-11.0%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Bucher Industries AG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BUCN SE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+4.6%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Rheinmetall AG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RHM GY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-10.4%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Investment AB Latour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LATOB SS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+4.2%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RENK Group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R3NK GY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-9.3%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AP Moller - Maersk A/S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MAERSKB DC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Transportation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+2.9%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Hensoldt AG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HAG GY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-8.6%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ANDRITZ AG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ANDR AV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+2.4%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Experian PLC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EXPN LN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Commercial &amp; Professional Services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-7.9%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Trelleborg AB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TRELB SS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+2.1%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Saab AB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SAABB SS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-7.6%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Nibe Industrier AB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NIBEB SS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+2.0%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Babcock International Group PL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BAB LN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-6.6%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Verisure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VSURE SS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Commercial &amp; Professional Services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+1.4%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Siemens AG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SIE GY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Capital Goods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-5.9%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11. Utilities · 약세 확산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5거래일 동일가중 평균 -2.0%, 중앙값 -2.0%, 시장 대비 -1.1%p다. 상승 종목 비율은 19%, 유효 표본은 32개다.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산업 구조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Utilities 단일 산업그룹으로 구성돼 산업 간 상대비교는 하지 않는다. 해당 산업그룹의 수익률은 -2.0%다.</w:t>
      </w:r>
    </w:p>
    <w:p>
      <w:pPr>
        <w:keepNext w:val="false"/>
        <w:spacing w:after="100" w:before="0" w:line="286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9"/>
          <w:szCs w:val="19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평균수익률과 breadth가 모두 약해 섹터 전반의 매도 압력이 우세했다. 종목 간 분산은 시장 전체보다 낮아 방향성이 비교적 고르게 나타났다.</w:t>
      </w:r>
    </w:p>
    <w:p>
      <w:pPr>
        <w:spacing w:after="55" w:before="60"/>
        <w:jc w:val="center"/>
      </w:pPr>
      <w:r>
        <w:drawing>
          <wp:inline distT="0" distB="0" distL="0" distR="0">
            <wp:extent cx="6429375" cy="2505075"/>
            <wp:effectExtent t="0" r="0" b="0" l="0"/>
            <wp:docPr id="1" name="stoxx600_utilities_industries_5d_20260904.png" descr="stoxx600_utilities_industries_5d_20260904.png" title="stoxx600_utilities_industries_5d_20260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0" w:line="28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그림 14. Utilities 산업그룹 최근 5거래일 성과</w:t>
      </w:r>
    </w:p>
    <w:tbl>
      <w:tblPr>
        <w:tblW w:type="dxa" w:w="805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3000"/>
        <w:gridCol w:w="650"/>
        <w:gridCol w:w="1050"/>
        <w:gridCol w:w="1050"/>
        <w:gridCol w:w="1050"/>
        <w:gridCol w:w="1250"/>
      </w:tblGrid>
      <w:tr>
        <w:trPr>
          <w:cantSplit/>
          <w:tblHeader/>
        </w:trPr>
        <w:tc>
          <w:tcPr>
            <w:tcW w:type="dxa" w:w="30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GICS Industry Group</w:t>
            </w:r>
          </w:p>
        </w:tc>
        <w:tc>
          <w:tcPr>
            <w:tcW w:type="dxa" w:w="6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5D 평균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중앙값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상승 비율</w:t>
            </w:r>
          </w:p>
        </w:tc>
        <w:tc>
          <w:tcPr>
            <w:tcW w:type="dxa" w:w="12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섹터 대비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Utilities</w:t>
            </w:r>
          </w:p>
        </w:tc>
        <w:tc>
          <w:tcPr>
            <w:tcW w:type="dxa" w:w="6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32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-2.0%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-2.0%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19%</w:t>
            </w:r>
          </w:p>
        </w:tc>
        <w:tc>
          <w:tcPr>
            <w:tcW w:type="dxa" w:w="12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+0.0%p</w:t>
            </w:r>
          </w:p>
        </w:tc>
      </w:tr>
    </w:tbl>
    <w:p>
      <w:pPr>
        <w:keepNext w:val="false"/>
        <w:spacing w:after="40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4"/>
          <w:szCs w:val="4"/>
        </w:rPr>
        <w:t xml:space="preserve"/>
      </w:r>
    </w:p>
    <w:p>
      <w:pPr>
        <w:pStyle w:val="Heading2"/>
        <w:keepNext/>
        <w:spacing w:after="100" w:before="170"/>
      </w:pPr>
      <w:r>
        <w:t xml:space="preserve">상승 종목과 하락 종목</w:t>
      </w:r>
    </w:p>
    <w:p>
      <w:pPr>
        <w:keepNext w:val="false"/>
        <w:spacing w:after="7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6"/>
          <w:szCs w:val="16"/>
        </w:rPr>
        <w:t xml:space="preserve">섹터 내 유효 종목을 수익률 순으로 정렬해 상승 상위와 하락 하위를 각각 최대 8개 표시했다.</w:t>
      </w:r>
    </w:p>
    <w:tbl>
      <w:tblPr>
        <w:tblW w:type="dxa" w:w="9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D9D9" w:sz="2"/>
          <w:insideV w:val="single" w:color="D9D9D9" w:sz="2"/>
        </w:tblBorders>
      </w:tblPr>
      <w:tblGrid>
        <w:gridCol w:w="1500"/>
        <w:gridCol w:w="1050"/>
        <w:gridCol w:w="1430"/>
        <w:gridCol w:w="700"/>
        <w:gridCol w:w="1500"/>
        <w:gridCol w:w="1050"/>
        <w:gridCol w:w="1430"/>
        <w:gridCol w:w="700"/>
      </w:tblGrid>
      <w:tr>
        <w:trPr>
          <w:cantSplit/>
          <w:tblHeader/>
        </w:trPr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상승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  <w:tc>
          <w:tcPr>
            <w:tcW w:type="dxa" w:w="15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하락 종목</w:t>
            </w:r>
          </w:p>
        </w:tc>
        <w:tc>
          <w:tcPr>
            <w:tcW w:type="dxa" w:w="105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Ticker</w:t>
            </w:r>
          </w:p>
        </w:tc>
        <w:tc>
          <w:tcPr>
            <w:tcW w:type="dxa" w:w="143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산업</w:t>
            </w:r>
          </w:p>
        </w:tc>
        <w:tc>
          <w:tcPr>
            <w:tcW w:type="dxa" w:w="700"/>
            <w:shd w:fill="17365D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Tauron Polska Energia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TPE PW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+3.5%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Elia Group SA/NV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ELI BB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-7.1%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Drax Group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DRX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+2.5%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Severn Trent PLC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SVT LN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-5.6%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Fortum Oyj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FORTUM FH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+0.9%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United Utilities Group PLC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UU/ LN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Verbund AG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VER AV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+0.7%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EDP Renewables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EDPR PL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-5.0%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Naturgy Energy Group SA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NTGY SQ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+0.5%</w:t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Enel SpA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ENEL IM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-4.2%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Rubis SCA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RUI FP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+0.3%</w:t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Acciona SA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ANA SQ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-4.2%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Centrica PLC</w:t>
            </w:r>
          </w:p>
        </w:tc>
        <w:tc>
          <w:tcPr>
            <w:tcW w:type="dxa" w:w="105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CNA LN Equity</w:t>
            </w:r>
          </w:p>
        </w:tc>
        <w:tc>
          <w:tcPr>
            <w:tcW w:type="dxa" w:w="143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-4.0%</w:t>
            </w:r>
          </w:p>
        </w:tc>
      </w:tr>
      <w:tr>
        <w:trPr>
          <w:cantSplit/>
        </w:trPr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Italgas SpA</w:t>
            </w:r>
          </w:p>
        </w:tc>
        <w:tc>
          <w:tcPr>
            <w:tcW w:type="dxa" w:w="105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IG IM Equity</w:t>
            </w:r>
          </w:p>
        </w:tc>
        <w:tc>
          <w:tcPr>
            <w:tcW w:type="dxa" w:w="143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Utilities</w:t>
            </w:r>
          </w:p>
        </w:tc>
        <w:tc>
          <w:tcPr>
            <w:tcW w:type="dxa" w:w="700"/>
            <w:shd w:fill="F6F9FC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0" w:before="0" w:line="235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-3.7%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활용 방법과 계산 정의</w:t>
      </w:r>
    </w:p>
    <w:p>
      <w:pPr>
        <w:pStyle w:val="Heading2"/>
        <w:keepNext/>
        <w:spacing w:after="100" w:before="170"/>
      </w:pPr>
      <w:r>
        <w:t xml:space="preserve">발표에서 먼저 볼 순서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① 전체 섹터 성과표에서 선두·최하위와 스프레드를 확인한다. ② 섹터 수익률 그림과 breadth 그림이 같은 방향인지 본다. ③ 산업그룹 그림에서 섹터 내부의 주도 산업을 찾는다. ④ 섹터별 상·하위 종목 표에서 평균이 한두 종목에 의해 왜곡됐는지 점검한다.</w:t>
      </w:r>
    </w:p>
    <w:p>
      <w:pPr>
        <w:pStyle w:val="Heading2"/>
        <w:keepNext/>
        <w:spacing w:after="100" w:before="170"/>
      </w:pPr>
      <w:r>
        <w:t xml:space="preserve">기간 정의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5D=2026-08-28 종가 대비 2026-09-04 종가의 단순수익률이다. 유효 거래일 종가 여섯 개를 사용해 정확히 다섯 거래 세션의 변화를 측정했다. 사용한 종가는 2026-08-28, 2026-08-31, 2026-09-01, 2026-09-02, 2026-09-03, 2026-09-04다.</w:t>
      </w:r>
    </w:p>
    <w:p>
      <w:pPr>
        <w:pStyle w:val="Heading2"/>
        <w:keepNext/>
        <w:spacing w:after="100" w:before="170"/>
      </w:pPr>
      <w:r>
        <w:t xml:space="preserve">분류와 집계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9"/>
          <w:szCs w:val="19"/>
        </w:rPr>
        <w:t xml:space="preserve">분류는 원천 BQL의 GICS Sector와 GICS Industry Group을 사용한다. 섹터·산업 수익률은 유효 구성종목의 현지통화 가격수익률을 동일가중 산술평균한다. 유럽은 통화가 혼재하므로 환산되지 않은 시가총액 가중보다 동일가중 방식이 비교 가능성이 높다.</w:t>
      </w:r>
    </w:p>
    <w:p>
      <w:pPr>
        <w:pStyle w:val="Heading2"/>
        <w:keepNext/>
        <w:spacing w:after="100" w:before="170"/>
      </w:pPr>
      <w:r>
        <w:t xml:space="preserve">데이터 주의사항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현재 구성종목을 과거 구간에 소급하므로 생존편향이 있다. 배당과 환율 효과는 제외한다. 가격과 시가총액의 연속성이 크게 어긋나는 명백한 기업행위 의심치 0개는 집계와 순위에서 제외했다. Master의 최신 유효 거래일을 기준으로 계산했다.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원자료: C:\Users\infomax\Documents\python\QAE\데일리시황\BQL\Rawfile\BQuant_Master.xlsx · 시트: SXXP Raw</w:t>
      </w:r>
    </w:p>
    <w:p>
      <w:pPr>
        <w:keepNext w:val="false"/>
        <w:spacing w:after="105" w:before="0" w:line="28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계산 JSON: C:\Users\infomax\Documents\python\QAE\데일리시황\BQL\Theme\Sector_Industry\Reports\output\data\STOXX600_TOPIX_Sector_Industry_5D_20260904.json</w:t>
      </w:r>
    </w:p>
    <w:sectPr>
      <w:headerReference w:type="default" r:id="rId7"/>
      <w:footerReference w:type="default" r:id="rId8"/>
      <w:pgSz w:w="12240" w:h="15840" w:orient="portrait"/>
      <w:pgMar w:top="650" w:right="650" w:bottom="650" w:left="650" w:header="320" w:footer="3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2026-09-04  |  </w:t>
    </w:r>
    <w:r>
      <w:rPr>
        <w:rFonts w:ascii="Malgun Gothic" w:cs="Malgun Gothic" w:eastAsia="Malgun Gothic" w:hAnsi="Malgun Gothic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STOXX Europe 600 · Sector and Industry · 5D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spacing w:line="28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/>
      <w:jc w:val="center"/>
    </w:pPr>
    <w:rPr>
      <w:rFonts w:ascii="Malgun Gothic" w:cs="Malgun Gothic" w:eastAsia="Malgun Gothic" w:hAnsi="Malgun Gothic"/>
      <w:b/>
      <w:bCs/>
      <w:color w:val="17365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Malgun Gothic" w:cs="Malgun Gothic" w:eastAsia="Malgun Gothic" w:hAnsi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Malgun Gothic" w:cs="Malgun Gothic" w:eastAsia="Malgun Gothic" w:hAnsi="Malgun Gothic"/>
      <w:b/>
      <w:bCs/>
      <w:color w:val="2F75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4e74f2239e0576eaf922530d7e209098ecae81.png"/><Relationship Id="rId10" Type="http://schemas.openxmlformats.org/officeDocument/2006/relationships/image" Target="media/d866f32cdbb0051b7823fa05ed6c10c1446522d4.png"/><Relationship Id="rId11" Type="http://schemas.openxmlformats.org/officeDocument/2006/relationships/image" Target="media/ef912a18b7331c6577cde9c003fbfd760a746d32.png"/><Relationship Id="rId12" Type="http://schemas.openxmlformats.org/officeDocument/2006/relationships/image" Target="media/c0062e7db2335bbe60d23afe7b15d395e602d63f.png"/><Relationship Id="rId13" Type="http://schemas.openxmlformats.org/officeDocument/2006/relationships/image" Target="media/863637146e5b71fefe948495ce77a7f683fbd87a.png"/><Relationship Id="rId14" Type="http://schemas.openxmlformats.org/officeDocument/2006/relationships/image" Target="media/1effa2ed753189103eab08ab03752ac5e35111f3.png"/><Relationship Id="rId15" Type="http://schemas.openxmlformats.org/officeDocument/2006/relationships/image" Target="media/2b5bb3baeb8bf7cddd3bd1dc1ff59f0f21de0110.png"/><Relationship Id="rId16" Type="http://schemas.openxmlformats.org/officeDocument/2006/relationships/image" Target="media/1b2b3207ac6c7153c1b362dd1c0dddce8e3f6eb4.png"/><Relationship Id="rId17" Type="http://schemas.openxmlformats.org/officeDocument/2006/relationships/image" Target="media/911078ce3baf743c5e4b91910a02089fd5c975e6.png"/><Relationship Id="rId18" Type="http://schemas.openxmlformats.org/officeDocument/2006/relationships/image" Target="media/be1f63540c2daf7481b9d18434b4d30f95268ff6.png"/><Relationship Id="rId19" Type="http://schemas.openxmlformats.org/officeDocument/2006/relationships/image" Target="media/d8791ebfc9cb7d71a3698c4433f9afbfeb20c39c.png"/><Relationship Id="rId20" Type="http://schemas.openxmlformats.org/officeDocument/2006/relationships/image" Target="media/639822b42a6d6ebf9f9738f2042323988be1a145.png"/><Relationship Id="rId21" Type="http://schemas.openxmlformats.org/officeDocument/2006/relationships/image" Target="media/45976de1a1e48822a56e0872bc047f1ab6f283ff.png"/><Relationship Id="rId22" Type="http://schemas.openxmlformats.org/officeDocument/2006/relationships/image" Target="media/1eb0de44b8ece8c744792791cef9c4ef72ab3fbd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STOXX Europe 600 섹터와 산업 최근 5거래일 보고서</dc:title>
  <dc:creator>OpenAI Codex</dc:creator>
  <dc:description>BQuant sector and GICS industry group performance with sector-level top gainers and bottom losers</dc:description>
  <cp:lastModifiedBy>Un-named</cp:lastModifiedBy>
  <cp:revision>1</cp:revision>
  <dcterms:created xsi:type="dcterms:W3CDTF">2026-09-07T18:02:13.554Z</dcterms:created>
  <dcterms:modified xsi:type="dcterms:W3CDTF">2026-09-07T18:02:13.554Z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