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30" w:before="142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40"/>
          <w:szCs w:val="40"/>
        </w:rPr>
        <w:t xml:space="preserve">TOPIX 섹터와 산업</w:t>
      </w:r>
    </w:p>
    <w:p>
      <w:pPr>
        <w:spacing w:after="21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28"/>
          <w:szCs w:val="28"/>
        </w:rPr>
        <w:t xml:space="preserve">최근 5거래일 로테이션과 내부 확산</w:t>
      </w:r>
    </w:p>
    <w:p>
      <w:pPr>
        <w:keepNext w:val="false"/>
        <w:spacing w:after="105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9"/>
          <w:szCs w:val="19"/>
        </w:rPr>
        <w:t xml:space="preserve">2026-08-28~2026-09-04 · 1,635개 원천 기준 구성종목 · 11개 GICS 섹터</w:t>
      </w:r>
    </w:p>
    <w:p>
      <w:pPr>
        <w:keepNext w:val="false"/>
        <w:spacing w:after="105" w:before="9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7"/>
          <w:szCs w:val="17"/>
        </w:rPr>
        <w:t xml:space="preserve">섹터 성과 · 산업그룹 리더십 · 섹터별 상승·하락 종목</w:t>
      </w:r>
    </w:p>
    <w:p>
      <w:r>
        <w:br w:type="page"/>
      </w:r>
    </w:p>
    <w:p>
      <w:pPr>
        <w:pStyle w:val="Heading1"/>
        <w:keepNext/>
        <w:spacing w:after="100" w:before="220"/>
      </w:pPr>
      <w:r>
        <w:t xml:space="preserve">Executive Summary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리더십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최근 5거래일 상위 섹터는 Utilities +3.1%, Energy -0.2%, Financials -0.3%다. 하위는 Materials -2.2%, Health Care -2.1%, Information Technology -1.9%다.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시장 폭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전체 종목 동일가중 수익률은 -1.3%, 상승 종목 비율은 27%다. 11개 섹터 중 1개가 상승했고, 1개는 상승 종목이 과반이었다.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산업 회전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산업그룹 상위는 Utilities +3.1%, Insurance +1.0%, Banks +0.5%다. 하위는 Semiconductors &amp; Semiconductor Equipment -3.3%, Household &amp; Personal Products -2.4%, Health Care Equipment &amp; Services -2.3%다.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종목 선택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Energy의 5거래일 종목 수익률 분산이 +4.0%로 가장 컸다. 같은 섹터 안에서도 산업과 종목 선택의 영향이 상대적으로 큰 구간이다.</w:t>
      </w:r>
    </w:p>
    <w:p>
      <w:pPr>
        <w:pBdr>
          <w:left w:val="single" w:color="2F75B5" w:sz="18"/>
        </w:pBdr>
        <w:shd w:fill="EAF2F8" w:val="clear"/>
        <w:spacing w:after="130" w:before="90" w:line="286"/>
        <w:ind w:left="150" w:right="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발표 핵심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Utilities의 강세가 78% breadth로 뒷받침되는지, Materials의 약세가 특정 산업그룹에 집중됐는지를 먼저 확인한다.</w:t>
      </w:r>
    </w:p>
    <w:p>
      <w:pPr>
        <w:pStyle w:val="Heading1"/>
        <w:keepNext/>
        <w:spacing w:after="100" w:before="220"/>
      </w:pPr>
      <w:r>
        <w:t xml:space="preserve">전체 섹터 성과표</w:t>
      </w:r>
    </w:p>
    <w:tbl>
      <w:tblPr>
        <w:tblW w:type="dxa" w:w="910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2100"/>
        <w:gridCol w:w="600"/>
        <w:gridCol w:w="700"/>
        <w:gridCol w:w="920"/>
        <w:gridCol w:w="920"/>
        <w:gridCol w:w="920"/>
        <w:gridCol w:w="920"/>
        <w:gridCol w:w="920"/>
        <w:gridCol w:w="1100"/>
      </w:tblGrid>
      <w:tr>
        <w:trPr>
          <w:cantSplit/>
          <w:tblHeader/>
        </w:trPr>
        <w:tc>
          <w:tcPr>
            <w:tcW w:type="dxa" w:w="21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섹터</w:t>
            </w:r>
          </w:p>
        </w:tc>
        <w:tc>
          <w:tcPr>
            <w:tcW w:type="dxa" w:w="6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산업그룹</w:t>
            </w:r>
          </w:p>
        </w:tc>
        <w:tc>
          <w:tcPr>
            <w:tcW w:type="dxa" w:w="92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5D 평균</w:t>
            </w:r>
          </w:p>
        </w:tc>
        <w:tc>
          <w:tcPr>
            <w:tcW w:type="dxa" w:w="92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중앙값</w:t>
            </w:r>
          </w:p>
        </w:tc>
        <w:tc>
          <w:tcPr>
            <w:tcW w:type="dxa" w:w="92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상승 비율</w:t>
            </w:r>
          </w:p>
        </w:tc>
        <w:tc>
          <w:tcPr>
            <w:tcW w:type="dxa" w:w="92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분산</w:t>
            </w:r>
          </w:p>
        </w:tc>
        <w:tc>
          <w:tcPr>
            <w:tcW w:type="dxa" w:w="92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시장 대비</w:t>
            </w:r>
          </w:p>
        </w:tc>
        <w:tc>
          <w:tcPr>
            <w:tcW w:type="dxa" w:w="11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Utilities</w:t>
            </w:r>
          </w:p>
        </w:tc>
        <w:tc>
          <w:tcPr>
            <w:tcW w:type="dxa" w:w="6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23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+3.1%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+2.6%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78%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+4.0%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+4.4%p</w:t>
            </w:r>
          </w:p>
        </w:tc>
        <w:tc>
          <w:tcPr>
            <w:tcW w:type="dxa" w:w="11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강세 확산</w:t>
            </w:r>
          </w:p>
        </w:tc>
      </w:tr>
      <w:tr>
        <w:trPr>
          <w:cantSplit/>
        </w:trPr>
        <w:tc>
          <w:tcPr>
            <w:tcW w:type="dxa" w:w="21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Energy</w:t>
            </w:r>
          </w:p>
        </w:tc>
        <w:tc>
          <w:tcPr>
            <w:tcW w:type="dxa" w:w="6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-0.2%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-1.4%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43%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+4.0%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+1.1%p</w:t>
            </w:r>
          </w:p>
        </w:tc>
        <w:tc>
          <w:tcPr>
            <w:tcW w:type="dxa" w:w="11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상대 강세 집중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Financials</w:t>
            </w:r>
          </w:p>
        </w:tc>
        <w:tc>
          <w:tcPr>
            <w:tcW w:type="dxa" w:w="6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128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-0.3%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-0.4%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42%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+2.4%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+1.1%p</w:t>
            </w:r>
          </w:p>
        </w:tc>
        <w:tc>
          <w:tcPr>
            <w:tcW w:type="dxa" w:w="11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상대 강세 집중</w:t>
            </w:r>
          </w:p>
        </w:tc>
      </w:tr>
      <w:tr>
        <w:trPr>
          <w:cantSplit/>
        </w:trPr>
        <w:tc>
          <w:tcPr>
            <w:tcW w:type="dxa" w:w="21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Consumer Staples</w:t>
            </w:r>
          </w:p>
        </w:tc>
        <w:tc>
          <w:tcPr>
            <w:tcW w:type="dxa" w:w="6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143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-0.7%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-0.9%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33%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+2.9%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+0.6%p</w:t>
            </w:r>
          </w:p>
        </w:tc>
        <w:tc>
          <w:tcPr>
            <w:tcW w:type="dxa" w:w="11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상대 강세 집중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Communication Services</w:t>
            </w:r>
          </w:p>
        </w:tc>
        <w:tc>
          <w:tcPr>
            <w:tcW w:type="dxa" w:w="6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77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-0.8%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-0.9%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32%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+2.8%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+0.6%p</w:t>
            </w:r>
          </w:p>
        </w:tc>
        <w:tc>
          <w:tcPr>
            <w:tcW w:type="dxa" w:w="11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상대 강세 집중</w:t>
            </w:r>
          </w:p>
        </w:tc>
      </w:tr>
      <w:tr>
        <w:trPr>
          <w:cantSplit/>
        </w:trPr>
        <w:tc>
          <w:tcPr>
            <w:tcW w:type="dxa" w:w="21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Industrials</w:t>
            </w:r>
          </w:p>
        </w:tc>
        <w:tc>
          <w:tcPr>
            <w:tcW w:type="dxa" w:w="6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440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-1.3%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-1.1%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25%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+2.7%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+0.0%p</w:t>
            </w:r>
          </w:p>
        </w:tc>
        <w:tc>
          <w:tcPr>
            <w:tcW w:type="dxa" w:w="11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상대 강세 집중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Consumer Discretionary</w:t>
            </w:r>
          </w:p>
        </w:tc>
        <w:tc>
          <w:tcPr>
            <w:tcW w:type="dxa" w:w="6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290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-1.5%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-1.4%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26%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+3.3%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-0.1%p</w:t>
            </w:r>
          </w:p>
        </w:tc>
        <w:tc>
          <w:tcPr>
            <w:tcW w:type="dxa" w:w="11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약세 확산</w:t>
            </w:r>
          </w:p>
        </w:tc>
      </w:tr>
      <w:tr>
        <w:trPr>
          <w:cantSplit/>
        </w:trPr>
        <w:tc>
          <w:tcPr>
            <w:tcW w:type="dxa" w:w="21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Real Estate</w:t>
            </w:r>
          </w:p>
        </w:tc>
        <w:tc>
          <w:tcPr>
            <w:tcW w:type="dxa" w:w="6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37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-1.9%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-1.8%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11%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+2.4%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-0.6%p</w:t>
            </w:r>
          </w:p>
        </w:tc>
        <w:tc>
          <w:tcPr>
            <w:tcW w:type="dxa" w:w="11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약세 확산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Information Technology</w:t>
            </w:r>
          </w:p>
        </w:tc>
        <w:tc>
          <w:tcPr>
            <w:tcW w:type="dxa" w:w="6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247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-1.9%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-1.9%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21%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+3.4%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-0.6%p</w:t>
            </w:r>
          </w:p>
        </w:tc>
        <w:tc>
          <w:tcPr>
            <w:tcW w:type="dxa" w:w="11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약세 확산</w:t>
            </w:r>
          </w:p>
        </w:tc>
      </w:tr>
      <w:tr>
        <w:trPr>
          <w:cantSplit/>
        </w:trPr>
        <w:tc>
          <w:tcPr>
            <w:tcW w:type="dxa" w:w="21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Health Care</w:t>
            </w:r>
          </w:p>
        </w:tc>
        <w:tc>
          <w:tcPr>
            <w:tcW w:type="dxa" w:w="6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79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-2.1%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-1.7%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20%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+3.4%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-0.8%p</w:t>
            </w:r>
          </w:p>
        </w:tc>
        <w:tc>
          <w:tcPr>
            <w:tcW w:type="dxa" w:w="11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약세 확산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Materials</w:t>
            </w:r>
          </w:p>
        </w:tc>
        <w:tc>
          <w:tcPr>
            <w:tcW w:type="dxa" w:w="6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157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-2.2%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-2.1%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25%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+3.9%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-0.8%p</w:t>
            </w:r>
          </w:p>
        </w:tc>
        <w:tc>
          <w:tcPr>
            <w:tcW w:type="dxa" w:w="11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약세 확산</w:t>
            </w:r>
          </w:p>
        </w:tc>
      </w:tr>
    </w:tbl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정렬 기준은 최근 5거래일 동일가중 평균 수익률이다. 분산은 섹터 내 유효 종목 수익률의 표준편차, 시장 대비는 전체 유효 종목 동일가중 수익률과의 차이다.</w:t>
      </w:r>
    </w:p>
    <w:p>
      <w:r>
        <w:br w:type="page"/>
      </w:r>
    </w:p>
    <w:p>
      <w:pPr>
        <w:pStyle w:val="Heading1"/>
        <w:keepNext/>
        <w:spacing w:after="100" w:before="220"/>
      </w:pPr>
      <w:r>
        <w:t xml:space="preserve">섹터 로테이션</w:t>
      </w:r>
    </w:p>
    <w:p>
      <w:pPr>
        <w:spacing w:after="55" w:before="60"/>
        <w:jc w:val="center"/>
      </w:pPr>
      <w:r>
        <w:drawing>
          <wp:inline distT="0" distB="0" distL="0" distR="0">
            <wp:extent cx="6572250" cy="3629025"/>
            <wp:effectExtent t="0" r="0" b="0" l="0"/>
            <wp:docPr id="1" name="topix_sector_return_5d_20260904.png" descr="topix_sector_return_5d_20260904.png" title="topix_sector_return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1. 섹터별 최근 5거래일 동일가중 평균 수익률</w:t>
      </w:r>
    </w:p>
    <w:p>
      <w:pPr>
        <w:spacing w:after="55" w:before="60"/>
        <w:jc w:val="center"/>
      </w:pPr>
      <w:r>
        <w:drawing>
          <wp:inline distT="0" distB="0" distL="0" distR="0">
            <wp:extent cx="6572250" cy="3629025"/>
            <wp:effectExtent t="0" r="0" b="0" l="0"/>
            <wp:docPr id="1" name="topix_sector_breadth_5d_20260904.png" descr="topix_sector_breadth_5d_20260904.png" title="topix_sector_breadth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2. 섹터별 상승 종목 비율</w:t>
      </w:r>
    </w:p>
    <w:p>
      <w:r>
        <w:br w:type="page"/>
      </w:r>
    </w:p>
    <w:p>
      <w:pPr>
        <w:pStyle w:val="Heading1"/>
        <w:keepNext/>
        <w:spacing w:after="100" w:before="220"/>
      </w:pPr>
      <w:r>
        <w:t xml:space="preserve">Key Findings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9"/>
          <w:szCs w:val="19"/>
        </w:rPr>
        <w:t xml:space="preserve">1. 상위 섹터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Utilities가 +3.1%로 선두이며 시장 대비 +4.4%p다. 내부 상승 breadth는 78%로 강세 확산으로 분류된다.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9"/>
          <w:szCs w:val="19"/>
        </w:rPr>
        <w:t xml:space="preserve">2. 하위 섹터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Materials는 -2.2%로 최하위이며 시장 대비 -0.8%p다. 내부 상승 breadth는 25%다.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9"/>
          <w:szCs w:val="19"/>
        </w:rPr>
        <w:t xml:space="preserve">3. 섹터 간 스프레드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선두와 최하위 섹터의 수익률 차이는 +5.2%p다. 스프레드가 크면서 breadth까지 엇갈릴수록 단기 로테이션 신호가 선명하다.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9"/>
          <w:szCs w:val="19"/>
        </w:rPr>
        <w:t xml:space="preserve">4. 해석 순서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섹터 평균의 방향, 상승 종목 비율, 산업그룹 간 스프레드, 개별 종목의 극단값 순으로 확인한다. 평균만 강하고 breadth가 약하면 소수 종목 주도로 해석한다.</w:t>
      </w:r>
    </w:p>
    <w:p>
      <w:pPr>
        <w:spacing w:after="55" w:before="60"/>
        <w:jc w:val="center"/>
      </w:pPr>
      <w:r>
        <w:drawing>
          <wp:inline distT="0" distB="0" distL="0" distR="0">
            <wp:extent cx="5534025" cy="4095750"/>
            <wp:effectExtent t="0" r="0" b="0" l="0"/>
            <wp:docPr id="1" name="topix_industry_rotation_5d_20260904.png" descr="topix_industry_rotation_5d_20260904.png" title="topix_industry_rotation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3. GICS 산업그룹 상위 8개와 하위 8개</w:t>
      </w:r>
    </w:p>
    <w:p>
      <w:pPr>
        <w:pStyle w:val="Heading1"/>
        <w:keepNext/>
        <w:spacing w:after="100" w:before="220"/>
      </w:pPr>
      <w:r>
        <w:t xml:space="preserve">섹터별 상세</w:t>
      </w:r>
    </w:p>
    <w:p>
      <w:pPr>
        <w:keepNext w:val="false"/>
        <w:spacing w:after="10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9"/>
          <w:szCs w:val="19"/>
        </w:rPr>
        <w:t xml:space="preserve">각 섹터에서 산업그룹 성과와 내부 확산을 먼저 보고, 상승·하락 종목은 각각 최대 8개만 표시한다.</w:t>
      </w:r>
    </w:p>
    <w:p>
      <w:pPr>
        <w:pStyle w:val="Heading1"/>
        <w:keepNext/>
        <w:pageBreakBefore/>
        <w:spacing w:after="100" w:before="220"/>
      </w:pPr>
      <w:r>
        <w:t xml:space="preserve">1. Utilities · 강세 확산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5거래일 동일가중 평균 +3.1%, 중앙값 +2.6%, 시장 대비 +4.4%p다. 상승 종목 비율은 78%, 유효 표본은 23개다.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산업 구조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Utilities 단일 산업그룹으로 구성돼 산업 간 상대비교는 하지 않는다. 해당 산업그룹의 수익률은 +3.1%다.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시장 대비 초과수익과 과반 상승 breadth가 함께 나타나 섹터 내부 확산이 확인된다. 종목 간 수익률 분산도 시장 전체보다 커 개별 종목 선택의 영향이 컸다.</w:t>
      </w:r>
    </w:p>
    <w:p>
      <w:pPr>
        <w:spacing w:after="55" w:before="60"/>
        <w:jc w:val="center"/>
      </w:pPr>
      <w:r>
        <w:drawing>
          <wp:inline distT="0" distB="0" distL="0" distR="0">
            <wp:extent cx="5876925" cy="2286000"/>
            <wp:effectExtent t="0" r="0" b="0" l="0"/>
            <wp:docPr id="1" name="topix_utilities_industries_5d_20260904.png" descr="topix_utilities_industries_5d_20260904.png" title="topix_utilities_industries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4. Utilities 산업그룹 최근 5거래일 성과</w:t>
      </w:r>
    </w:p>
    <w:tbl>
      <w:tblPr>
        <w:tblW w:type="dxa" w:w="805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3000"/>
        <w:gridCol w:w="650"/>
        <w:gridCol w:w="1050"/>
        <w:gridCol w:w="1050"/>
        <w:gridCol w:w="1050"/>
        <w:gridCol w:w="1250"/>
      </w:tblGrid>
      <w:tr>
        <w:trPr>
          <w:cantSplit/>
          <w:tblHeader/>
        </w:trPr>
        <w:tc>
          <w:tcPr>
            <w:tcW w:type="dxa" w:w="30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GICS Industry Group</w:t>
            </w:r>
          </w:p>
        </w:tc>
        <w:tc>
          <w:tcPr>
            <w:tcW w:type="dxa" w:w="6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5D 평균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중앙값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상승 비율</w:t>
            </w:r>
          </w:p>
        </w:tc>
        <w:tc>
          <w:tcPr>
            <w:tcW w:type="dxa" w:w="12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섹터 대비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Utilities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23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6"/>
                <w:szCs w:val="16"/>
              </w:rPr>
              <w:t xml:space="preserve">+3.1%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+2.6%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78%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+0.0%p</w:t>
            </w:r>
          </w:p>
        </w:tc>
      </w:tr>
    </w:tbl>
    <w:p>
      <w:pPr>
        <w:keepNext w:val="false"/>
        <w:spacing w:after="40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4"/>
          <w:szCs w:val="4"/>
        </w:rPr>
        <w:t xml:space="preserve"/>
      </w:r>
    </w:p>
    <w:p>
      <w:pPr>
        <w:pStyle w:val="Heading2"/>
        <w:keepNext/>
        <w:spacing w:after="100" w:before="170"/>
      </w:pPr>
      <w:r>
        <w:t xml:space="preserve">상승 종목과 하락 종목</w:t>
      </w:r>
    </w:p>
    <w:p>
      <w:pPr>
        <w:keepNext w:val="false"/>
        <w:spacing w:after="7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6"/>
          <w:szCs w:val="16"/>
        </w:rPr>
        <w:t xml:space="preserve">섹터 내 유효 종목을 수익률 순으로 정렬해 상승 상위와 하락 하위를 각각 최대 8개 표시했다.</w:t>
      </w:r>
    </w:p>
    <w:tbl>
      <w:tblPr>
        <w:tblW w:type="dxa" w:w="936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1500"/>
        <w:gridCol w:w="1050"/>
        <w:gridCol w:w="1430"/>
        <w:gridCol w:w="700"/>
        <w:gridCol w:w="1500"/>
        <w:gridCol w:w="1050"/>
        <w:gridCol w:w="1430"/>
        <w:gridCol w:w="700"/>
      </w:tblGrid>
      <w:tr>
        <w:trPr>
          <w:cantSplit/>
          <w:tblHeader/>
        </w:trPr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상승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하락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Kansai Electric Power Co Inc/T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9503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+12.8%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RENOVA Inc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9519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-3.5%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Kyushu Electric Power Co Inc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9508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+9.7%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eRex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9517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-3.2%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Hokkaido Gas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9534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+8.4%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EF-ON INC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9514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-2.3%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Shikoku Electric Power Co Inc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9507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+7.9%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Saibu Gas Holdings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9536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-0.5%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Hokuriku Electric Power Co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9505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+6.0%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Tokyo Gas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9531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-0.1%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Chugoku Electric Power Co Inc/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9504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+5.6%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Tokyo Electric Power Co Holdin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9501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+5.1%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Tohoku Electric Power Co Inc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9506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+4.9%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00" w:before="220"/>
      </w:pPr>
      <w:r>
        <w:t xml:space="preserve">2. Energy · 상대 강세 집중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5거래일 동일가중 평균 -0.2%, 중앙값 -1.4%, 시장 대비 +1.1%p다. 상승 종목 비율은 43%, 유효 표본은 14개다.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산업 구조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Energy 단일 산업그룹으로 구성돼 산업 간 상대비교는 하지 않는다. 해당 산업그룹의 수익률은 -0.2%다.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섹터 평균은 시장을 웃돌지만 상승 종목이 과반에 못 미쳐 일부 대형 움직임에 집중됐을 가능성이 높다. 종목 간 수익률 분산도 시장 전체보다 커 개별 종목 선택의 영향이 컸다.</w:t>
      </w:r>
    </w:p>
    <w:p>
      <w:pPr>
        <w:spacing w:after="55" w:before="60"/>
        <w:jc w:val="center"/>
      </w:pPr>
      <w:r>
        <w:drawing>
          <wp:inline distT="0" distB="0" distL="0" distR="0">
            <wp:extent cx="5876925" cy="2286000"/>
            <wp:effectExtent t="0" r="0" b="0" l="0"/>
            <wp:docPr id="1" name="topix_energy_industries_5d_20260904.png" descr="topix_energy_industries_5d_20260904.png" title="topix_energy_industries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5. Energy 산업그룹 최근 5거래일 성과</w:t>
      </w:r>
    </w:p>
    <w:tbl>
      <w:tblPr>
        <w:tblW w:type="dxa" w:w="805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3000"/>
        <w:gridCol w:w="650"/>
        <w:gridCol w:w="1050"/>
        <w:gridCol w:w="1050"/>
        <w:gridCol w:w="1050"/>
        <w:gridCol w:w="1250"/>
      </w:tblGrid>
      <w:tr>
        <w:trPr>
          <w:cantSplit/>
          <w:tblHeader/>
        </w:trPr>
        <w:tc>
          <w:tcPr>
            <w:tcW w:type="dxa" w:w="30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GICS Industry Group</w:t>
            </w:r>
          </w:p>
        </w:tc>
        <w:tc>
          <w:tcPr>
            <w:tcW w:type="dxa" w:w="6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5D 평균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중앙값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상승 비율</w:t>
            </w:r>
          </w:p>
        </w:tc>
        <w:tc>
          <w:tcPr>
            <w:tcW w:type="dxa" w:w="12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섹터 대비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Energy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-0.2%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-1.4%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43%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+0.0%p</w:t>
            </w:r>
          </w:p>
        </w:tc>
      </w:tr>
    </w:tbl>
    <w:p>
      <w:pPr>
        <w:keepNext w:val="false"/>
        <w:spacing w:after="40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4"/>
          <w:szCs w:val="4"/>
        </w:rPr>
        <w:t xml:space="preserve"/>
      </w:r>
    </w:p>
    <w:p>
      <w:pPr>
        <w:pStyle w:val="Heading2"/>
        <w:keepNext/>
        <w:spacing w:after="100" w:before="170"/>
      </w:pPr>
      <w:r>
        <w:t xml:space="preserve">상승 종목과 하락 종목</w:t>
      </w:r>
    </w:p>
    <w:p>
      <w:pPr>
        <w:keepNext w:val="false"/>
        <w:spacing w:after="7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6"/>
          <w:szCs w:val="16"/>
        </w:rPr>
        <w:t xml:space="preserve">섹터 내 유효 종목을 수익률 순으로 정렬해 상승 상위와 하락 하위를 각각 최대 8개 표시했다.</w:t>
      </w:r>
    </w:p>
    <w:tbl>
      <w:tblPr>
        <w:tblW w:type="dxa" w:w="936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1500"/>
        <w:gridCol w:w="1050"/>
        <w:gridCol w:w="1430"/>
        <w:gridCol w:w="700"/>
        <w:gridCol w:w="1500"/>
        <w:gridCol w:w="1050"/>
        <w:gridCol w:w="1430"/>
        <w:gridCol w:w="700"/>
      </w:tblGrid>
      <w:tr>
        <w:trPr>
          <w:cantSplit/>
          <w:tblHeader/>
        </w:trPr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상승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하락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Mitsuuroko Group Holdings Co L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8131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+6.9%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Modec Inc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6269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-4.7%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Idemitsu Kosan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5019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+6.6%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SHINANEN HOLDINGS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8132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-4.6%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Itochu Enex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8133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+4.2%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Iwatani Corp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8088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-4.5%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Cosmo Energy Holdings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5021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+3.7%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Nippon Coke &amp; Engineering Co L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3315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-3.8%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ENEOS Holdings Inc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5020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+1.6%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Sala Corp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2734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-3.1%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San-Ai Obbli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8097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+0.4%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Toyo Kanetsu KK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6369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-3.0%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Inpex Corp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1605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-2.5%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Japan Petroleum Exploration Co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1662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-0.4%</w:t>
            </w:r>
          </w:p>
        </w:tc>
      </w:tr>
    </w:tbl>
    <w:p>
      <w:pPr>
        <w:pStyle w:val="Heading1"/>
        <w:keepNext/>
        <w:pageBreakBefore/>
        <w:spacing w:after="100" w:before="220"/>
      </w:pPr>
      <w:r>
        <w:t xml:space="preserve">3. Financials · 상대 강세 집중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5거래일 동일가중 평균 -0.3%, 중앙값 -0.4%, 시장 대비 +1.1%p다. 상승 종목 비율은 42%, 유효 표본은 128개다.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산업 구조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3개 산업그룹 중 Insurance가 +1.0%로 가장 강했고, Financial Services가 -1.7%로 가장 약했다. 산업 간 스프레드는 +2.6%p다.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섹터 평균은 시장을 웃돌지만 상승 종목이 과반에 못 미쳐 일부 대형 움직임에 집중됐을 가능성이 높다. 종목 간 분산은 시장 전체보다 낮아 방향성이 비교적 고르게 나타났다.</w:t>
      </w:r>
    </w:p>
    <w:p>
      <w:pPr>
        <w:spacing w:after="55" w:before="60"/>
        <w:jc w:val="center"/>
      </w:pPr>
      <w:r>
        <w:drawing>
          <wp:inline distT="0" distB="0" distL="0" distR="0">
            <wp:extent cx="5876925" cy="2286000"/>
            <wp:effectExtent t="0" r="0" b="0" l="0"/>
            <wp:docPr id="1" name="topix_financials_industries_5d_20260904.png" descr="topix_financials_industries_5d_20260904.png" title="topix_financials_industries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6. Financials 산업그룹 최근 5거래일 성과</w:t>
      </w:r>
    </w:p>
    <w:tbl>
      <w:tblPr>
        <w:tblW w:type="dxa" w:w="805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3000"/>
        <w:gridCol w:w="650"/>
        <w:gridCol w:w="1050"/>
        <w:gridCol w:w="1050"/>
        <w:gridCol w:w="1050"/>
        <w:gridCol w:w="1250"/>
      </w:tblGrid>
      <w:tr>
        <w:trPr>
          <w:cantSplit/>
          <w:tblHeader/>
        </w:trPr>
        <w:tc>
          <w:tcPr>
            <w:tcW w:type="dxa" w:w="30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GICS Industry Group</w:t>
            </w:r>
          </w:p>
        </w:tc>
        <w:tc>
          <w:tcPr>
            <w:tcW w:type="dxa" w:w="6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5D 평균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중앙값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상승 비율</w:t>
            </w:r>
          </w:p>
        </w:tc>
        <w:tc>
          <w:tcPr>
            <w:tcW w:type="dxa" w:w="12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섹터 대비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Insurance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11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6"/>
                <w:szCs w:val="16"/>
              </w:rPr>
              <w:t xml:space="preserve">+1.0%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+1.9%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55%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+1.3%p</w:t>
            </w:r>
          </w:p>
        </w:tc>
      </w:tr>
      <w:tr>
        <w:trPr>
          <w:cantSplit/>
        </w:trPr>
        <w:tc>
          <w:tcPr>
            <w:tcW w:type="dxa" w:w="30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Banks</w:t>
            </w:r>
          </w:p>
        </w:tc>
        <w:tc>
          <w:tcPr>
            <w:tcW w:type="dxa" w:w="6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69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6"/>
                <w:szCs w:val="16"/>
              </w:rPr>
              <w:t xml:space="preserve">+0.5%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+0.6%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58%</w:t>
            </w:r>
          </w:p>
        </w:tc>
        <w:tc>
          <w:tcPr>
            <w:tcW w:type="dxa" w:w="12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+0.8%p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Financial Services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48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-1.7%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-1.6%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17%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-1.4%p</w:t>
            </w:r>
          </w:p>
        </w:tc>
      </w:tr>
    </w:tbl>
    <w:p>
      <w:pPr>
        <w:keepNext w:val="false"/>
        <w:spacing w:after="40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4"/>
          <w:szCs w:val="4"/>
        </w:rPr>
        <w:t xml:space="preserve"/>
      </w:r>
    </w:p>
    <w:p>
      <w:pPr>
        <w:pStyle w:val="Heading2"/>
        <w:keepNext/>
        <w:spacing w:after="100" w:before="170"/>
      </w:pPr>
      <w:r>
        <w:t xml:space="preserve">상승 종목과 하락 종목</w:t>
      </w:r>
    </w:p>
    <w:p>
      <w:pPr>
        <w:keepNext w:val="false"/>
        <w:spacing w:after="7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6"/>
          <w:szCs w:val="16"/>
        </w:rPr>
        <w:t xml:space="preserve">섹터 내 유효 종목을 수익률 순으로 정렬해 상승 상위와 하락 하위를 각각 최대 8개 표시했다.</w:t>
      </w:r>
    </w:p>
    <w:tbl>
      <w:tblPr>
        <w:tblW w:type="dxa" w:w="936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1500"/>
        <w:gridCol w:w="1050"/>
        <w:gridCol w:w="1430"/>
        <w:gridCol w:w="700"/>
        <w:gridCol w:w="1500"/>
        <w:gridCol w:w="1050"/>
        <w:gridCol w:w="1430"/>
        <w:gridCol w:w="700"/>
      </w:tblGrid>
      <w:tr>
        <w:trPr>
          <w:cantSplit/>
          <w:tblHeader/>
        </w:trPr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상승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하락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Quants Research Institute Hold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9552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Financial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+8.3%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Net Protections Holdings Inc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7383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Financial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-10.5%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Shikoku Bank Ltd/The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8387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Banks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+4.4%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GMO Financial Gate Inc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4051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Financial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-8.3%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Miyazaki Bank Ltd/The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8393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Banks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+4.2%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GMO Payment Gateway Inc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3769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Financial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-5.7%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Strike Group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6196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Financial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+3.8%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eGuarantee Inc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8771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Financial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-5.1%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Tokio Marine Holdings Inc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8766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Insurance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+3.7%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Aizawa Securities Group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8708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Financial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-4.2%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Procrea Holdings Inc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7384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Banks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+3.7%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Muninova Holdings Inc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547A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Financial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-4.2%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Mitsubishi UFJ Financial Group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8306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Banks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+3.5%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Nihon M&amp;A Center Holdings Inc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2127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Financial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-4.1%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Japan Post Insurance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7181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Insurance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+3.4%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Monex Group Inc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8698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Financial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-4.1%</w:t>
            </w:r>
          </w:p>
        </w:tc>
      </w:tr>
    </w:tbl>
    <w:p>
      <w:pPr>
        <w:pStyle w:val="Heading1"/>
        <w:keepNext/>
        <w:pageBreakBefore/>
        <w:spacing w:after="100" w:before="220"/>
      </w:pPr>
      <w:r>
        <w:t xml:space="preserve">4. Consumer Staples · 상대 강세 집중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5거래일 동일가중 평균 -0.7%, 중앙값 -0.9%, 시장 대비 +0.6%p다. 상승 종목 비율은 33%, 유효 표본은 143개다.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산업 구조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3개 산업그룹 중 Consumer Staples Distribution &amp; Retail가 -0.3%로 가장 강했고, Household &amp; Personal Products가 -2.4%로 가장 약했다. 산업 간 스프레드는 +2.0%p다.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섹터 평균은 시장을 웃돌지만 상승 종목이 과반에 못 미쳐 일부 대형 움직임에 집중됐을 가능성이 높다. 종목 간 분산은 시장 전체보다 낮아 방향성이 비교적 고르게 나타났다.</w:t>
      </w:r>
    </w:p>
    <w:p>
      <w:pPr>
        <w:spacing w:after="55" w:before="60"/>
        <w:jc w:val="center"/>
      </w:pPr>
      <w:r>
        <w:drawing>
          <wp:inline distT="0" distB="0" distL="0" distR="0">
            <wp:extent cx="5876925" cy="2286000"/>
            <wp:effectExtent t="0" r="0" b="0" l="0"/>
            <wp:docPr id="1" name="topix_consumer_staples_industries_5d_20260904.png" descr="topix_consumer_staples_industries_5d_20260904.png" title="topix_consumer_staples_industries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7. Consumer Staples 산업그룹 최근 5거래일 성과</w:t>
      </w:r>
    </w:p>
    <w:tbl>
      <w:tblPr>
        <w:tblW w:type="dxa" w:w="805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3000"/>
        <w:gridCol w:w="650"/>
        <w:gridCol w:w="1050"/>
        <w:gridCol w:w="1050"/>
        <w:gridCol w:w="1050"/>
        <w:gridCol w:w="1250"/>
      </w:tblGrid>
      <w:tr>
        <w:trPr>
          <w:cantSplit/>
          <w:tblHeader/>
        </w:trPr>
        <w:tc>
          <w:tcPr>
            <w:tcW w:type="dxa" w:w="30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GICS Industry Group</w:t>
            </w:r>
          </w:p>
        </w:tc>
        <w:tc>
          <w:tcPr>
            <w:tcW w:type="dxa" w:w="6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5D 평균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중앙값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상승 비율</w:t>
            </w:r>
          </w:p>
        </w:tc>
        <w:tc>
          <w:tcPr>
            <w:tcW w:type="dxa" w:w="12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섹터 대비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Consumer Staples Distribution &amp; Retail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46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-0.3%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-0.5%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46%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+0.4%p</w:t>
            </w:r>
          </w:p>
        </w:tc>
      </w:tr>
      <w:tr>
        <w:trPr>
          <w:cantSplit/>
        </w:trPr>
        <w:tc>
          <w:tcPr>
            <w:tcW w:type="dxa" w:w="30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Food, Beverage &amp; Tobacco</w:t>
            </w:r>
          </w:p>
        </w:tc>
        <w:tc>
          <w:tcPr>
            <w:tcW w:type="dxa" w:w="6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75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-0.4%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-0.7%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32%</w:t>
            </w:r>
          </w:p>
        </w:tc>
        <w:tc>
          <w:tcPr>
            <w:tcW w:type="dxa" w:w="12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+0.3%p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Household &amp; Personal Products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22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-2.4%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-2.3%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9%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-1.7%p</w:t>
            </w:r>
          </w:p>
        </w:tc>
      </w:tr>
    </w:tbl>
    <w:p>
      <w:pPr>
        <w:keepNext w:val="false"/>
        <w:spacing w:after="40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4"/>
          <w:szCs w:val="4"/>
        </w:rPr>
        <w:t xml:space="preserve"/>
      </w:r>
    </w:p>
    <w:p>
      <w:pPr>
        <w:pStyle w:val="Heading2"/>
        <w:keepNext/>
        <w:spacing w:after="100" w:before="170"/>
      </w:pPr>
      <w:r>
        <w:t xml:space="preserve">상승 종목과 하락 종목</w:t>
      </w:r>
    </w:p>
    <w:p>
      <w:pPr>
        <w:keepNext w:val="false"/>
        <w:spacing w:after="7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6"/>
          <w:szCs w:val="16"/>
        </w:rPr>
        <w:t xml:space="preserve">섹터 내 유효 종목을 수익률 순으로 정렬해 상승 상위와 하락 하위를 각각 최대 8개 표시했다.</w:t>
      </w:r>
    </w:p>
    <w:tbl>
      <w:tblPr>
        <w:tblW w:type="dxa" w:w="936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1500"/>
        <w:gridCol w:w="1050"/>
        <w:gridCol w:w="1430"/>
        <w:gridCol w:w="700"/>
        <w:gridCol w:w="1500"/>
        <w:gridCol w:w="1050"/>
        <w:gridCol w:w="1430"/>
        <w:gridCol w:w="700"/>
      </w:tblGrid>
      <w:tr>
        <w:trPr>
          <w:cantSplit/>
          <w:tblHeader/>
        </w:trPr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상승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하락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Takara Holdings Inc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2531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Food, Beverage &amp; Tobacco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+15.8%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Qol Holdings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3034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Staples Distribution &amp; Retail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-9.7%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Ito En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2593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Food, Beverage &amp; Tobacco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+6.8%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Shiseido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4911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Household &amp; Personal Products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-8.5%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Kobe Bussan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3038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Staples Distribution &amp; Retail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+5.6%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JM Holdings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3539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Staples Distribution &amp; Retail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-8.1%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Mitsui DM Sugar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2109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Food, Beverage &amp; Tobacco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+5.0%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Rohto Pharmaceutical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4527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Household &amp; Personal Products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-6.0%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Cosmos Pharmaceutical Corp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3349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Staples Distribution &amp; Retail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+4.6%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H2O Retailing Corp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8242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Staples Distribution &amp; Retail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-4.9%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House Foods Group Inc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2810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Food, Beverage &amp; Tobacco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+4.4%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Ajinomoto Co Inc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2802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Food, Beverage &amp; Tobacco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-4.7%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Kenko Mayonnaise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2915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Food, Beverage &amp; Tobacco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+4.2%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Riken Vitamin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4526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Food, Beverage &amp; Tobacco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-4.7%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Yamazaki Baking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2212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Food, Beverage &amp; Tobacco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+4.0%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Kirin Holdings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2503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Food, Beverage &amp; Tobacco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-4.6%</w:t>
            </w:r>
          </w:p>
        </w:tc>
      </w:tr>
    </w:tbl>
    <w:p>
      <w:pPr>
        <w:pStyle w:val="Heading1"/>
        <w:keepNext/>
        <w:pageBreakBefore/>
        <w:spacing w:after="100" w:before="220"/>
      </w:pPr>
      <w:r>
        <w:t xml:space="preserve">5. Communication Services · 상대 강세 집중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5거래일 동일가중 평균 -0.8%, 중앙값 -0.9%, 시장 대비 +0.6%p다. 상승 종목 비율은 32%, 유효 표본은 77개다.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산업 구조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2개 산업그룹 중 Telecommunication Services가 +0.4%로 가장 강했고, Media &amp; Entertainment가 -1.0%로 가장 약했다. 산업 간 스프레드는 +1.4%p다.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섹터 평균은 시장을 웃돌지만 상승 종목이 과반에 못 미쳐 일부 대형 움직임에 집중됐을 가능성이 높다. 종목 간 분산은 시장 전체보다 낮아 방향성이 비교적 고르게 나타났다.</w:t>
      </w:r>
    </w:p>
    <w:p>
      <w:pPr>
        <w:spacing w:after="55" w:before="60"/>
        <w:jc w:val="center"/>
      </w:pPr>
      <w:r>
        <w:drawing>
          <wp:inline distT="0" distB="0" distL="0" distR="0">
            <wp:extent cx="5876925" cy="2286000"/>
            <wp:effectExtent t="0" r="0" b="0" l="0"/>
            <wp:docPr id="1" name="topix_communication_services_industries_5d_20260904.png" descr="topix_communication_services_industries_5d_20260904.png" title="topix_communication_services_industries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8. Communication Services 산업그룹 최근 5거래일 성과</w:t>
      </w:r>
    </w:p>
    <w:tbl>
      <w:tblPr>
        <w:tblW w:type="dxa" w:w="805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3000"/>
        <w:gridCol w:w="650"/>
        <w:gridCol w:w="1050"/>
        <w:gridCol w:w="1050"/>
        <w:gridCol w:w="1050"/>
        <w:gridCol w:w="1250"/>
      </w:tblGrid>
      <w:tr>
        <w:trPr>
          <w:cantSplit/>
          <w:tblHeader/>
        </w:trPr>
        <w:tc>
          <w:tcPr>
            <w:tcW w:type="dxa" w:w="30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GICS Industry Group</w:t>
            </w:r>
          </w:p>
        </w:tc>
        <w:tc>
          <w:tcPr>
            <w:tcW w:type="dxa" w:w="6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5D 평균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중앙값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상승 비율</w:t>
            </w:r>
          </w:p>
        </w:tc>
        <w:tc>
          <w:tcPr>
            <w:tcW w:type="dxa" w:w="12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섹터 대비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Telecommunication Services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6"/>
                <w:szCs w:val="16"/>
              </w:rPr>
              <w:t xml:space="preserve">+0.4%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-0.1%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50%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+1.2%p</w:t>
            </w:r>
          </w:p>
        </w:tc>
      </w:tr>
      <w:tr>
        <w:trPr>
          <w:cantSplit/>
        </w:trPr>
        <w:tc>
          <w:tcPr>
            <w:tcW w:type="dxa" w:w="30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Media &amp; Entertainment</w:t>
            </w:r>
          </w:p>
        </w:tc>
        <w:tc>
          <w:tcPr>
            <w:tcW w:type="dxa" w:w="6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65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-1.0%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-1.0%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29%</w:t>
            </w:r>
          </w:p>
        </w:tc>
        <w:tc>
          <w:tcPr>
            <w:tcW w:type="dxa" w:w="12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-0.2%p</w:t>
            </w:r>
          </w:p>
        </w:tc>
      </w:tr>
    </w:tbl>
    <w:p>
      <w:pPr>
        <w:keepNext w:val="false"/>
        <w:spacing w:after="40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4"/>
          <w:szCs w:val="4"/>
        </w:rPr>
        <w:t xml:space="preserve"/>
      </w:r>
    </w:p>
    <w:p>
      <w:pPr>
        <w:pStyle w:val="Heading2"/>
        <w:keepNext/>
        <w:spacing w:after="100" w:before="170"/>
      </w:pPr>
      <w:r>
        <w:t xml:space="preserve">상승 종목과 하락 종목</w:t>
      </w:r>
    </w:p>
    <w:p>
      <w:pPr>
        <w:keepNext w:val="false"/>
        <w:spacing w:after="7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6"/>
          <w:szCs w:val="16"/>
        </w:rPr>
        <w:t xml:space="preserve">섹터 내 유효 종목을 수익률 순으로 정렬해 상승 상위와 하락 하위를 각각 최대 8개 표시했다.</w:t>
      </w:r>
    </w:p>
    <w:tbl>
      <w:tblPr>
        <w:tblW w:type="dxa" w:w="936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1500"/>
        <w:gridCol w:w="1050"/>
        <w:gridCol w:w="1430"/>
        <w:gridCol w:w="700"/>
        <w:gridCol w:w="1500"/>
        <w:gridCol w:w="1050"/>
        <w:gridCol w:w="1430"/>
        <w:gridCol w:w="700"/>
      </w:tblGrid>
      <w:tr>
        <w:trPr>
          <w:cantSplit/>
          <w:tblHeader/>
        </w:trPr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상승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하락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Direct Marketing MiX Inc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7354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Media &amp; Entertainment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+10.8%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SKY Perfect JSAT Corp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9412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Media &amp; Entertainment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-7.3%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SoftBank Group Corp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9984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Telecommunication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+8.3%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CL Holdings Inc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4286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Media &amp; Entertainment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-6.6%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Asahi Broadcasting Group Holdi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9405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Media &amp; Entertainment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+3.5%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Gurunavi Inc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2440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Media &amp; Entertainment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-6.0%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U-Next Holdings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9418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Telecommunication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+2.8%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Akatsuki Inc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3932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Media &amp; Entertainment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-4.8%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DeNA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2432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Media &amp; Entertainment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+2.7%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Kamakura Shinsho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6184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Media &amp; Entertainment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-4.3%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Dentsu Group Inc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4324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Media &amp; Entertainment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+2.7%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LY Corp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4689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Media &amp; Entertainment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-4.1%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NTT Inc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9432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Telecommunication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+2.4%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ITmedia Inc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2148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Media &amp; Entertainment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-4.1%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Toho Co Ltd/Tokyo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9602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Media &amp; Entertainment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+2.3%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MTI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9438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Media &amp; Entertainment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-3.6%</w:t>
            </w:r>
          </w:p>
        </w:tc>
      </w:tr>
    </w:tbl>
    <w:p>
      <w:pPr>
        <w:pStyle w:val="Heading1"/>
        <w:keepNext/>
        <w:pageBreakBefore/>
        <w:spacing w:after="100" w:before="220"/>
      </w:pPr>
      <w:r>
        <w:t xml:space="preserve">6. Industrials · 상대 강세 집중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5거래일 동일가중 평균 -1.3%, 중앙값 -1.1%, 시장 대비 +0.0%p다. 상승 종목 비율은 25%, 유효 표본은 440개다.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산업 구조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3개 산업그룹 중 Capital Goods가 -1.2%로 가장 강했고, Commercial &amp; Professional Services가 -1.6%로 가장 약했다. 산업 간 스프레드는 +0.4%p다.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섹터 평균은 시장을 웃돌지만 상승 종목이 과반에 못 미쳐 일부 대형 움직임에 집중됐을 가능성이 높다. 종목 간 분산은 시장 전체보다 낮아 방향성이 비교적 고르게 나타났다.</w:t>
      </w:r>
    </w:p>
    <w:p>
      <w:pPr>
        <w:spacing w:after="55" w:before="60"/>
        <w:jc w:val="center"/>
      </w:pPr>
      <w:r>
        <w:drawing>
          <wp:inline distT="0" distB="0" distL="0" distR="0">
            <wp:extent cx="5876925" cy="2286000"/>
            <wp:effectExtent t="0" r="0" b="0" l="0"/>
            <wp:docPr id="1" name="topix_industrials_industries_5d_20260904.png" descr="topix_industrials_industries_5d_20260904.png" title="topix_industrials_industries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9. Industrials 산업그룹 최근 5거래일 성과</w:t>
      </w:r>
    </w:p>
    <w:tbl>
      <w:tblPr>
        <w:tblW w:type="dxa" w:w="805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3000"/>
        <w:gridCol w:w="650"/>
        <w:gridCol w:w="1050"/>
        <w:gridCol w:w="1050"/>
        <w:gridCol w:w="1050"/>
        <w:gridCol w:w="1250"/>
      </w:tblGrid>
      <w:tr>
        <w:trPr>
          <w:cantSplit/>
          <w:tblHeader/>
        </w:trPr>
        <w:tc>
          <w:tcPr>
            <w:tcW w:type="dxa" w:w="30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GICS Industry Group</w:t>
            </w:r>
          </w:p>
        </w:tc>
        <w:tc>
          <w:tcPr>
            <w:tcW w:type="dxa" w:w="6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5D 평균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중앙값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상승 비율</w:t>
            </w:r>
          </w:p>
        </w:tc>
        <w:tc>
          <w:tcPr>
            <w:tcW w:type="dxa" w:w="12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섹터 대비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Capital Goods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293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-1.2%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-1.0%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27%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+0.1%p</w:t>
            </w:r>
          </w:p>
        </w:tc>
      </w:tr>
      <w:tr>
        <w:trPr>
          <w:cantSplit/>
        </w:trPr>
        <w:tc>
          <w:tcPr>
            <w:tcW w:type="dxa" w:w="30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Transportation</w:t>
            </w:r>
          </w:p>
        </w:tc>
        <w:tc>
          <w:tcPr>
            <w:tcW w:type="dxa" w:w="6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55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-1.4%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-1.1%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20%</w:t>
            </w:r>
          </w:p>
        </w:tc>
        <w:tc>
          <w:tcPr>
            <w:tcW w:type="dxa" w:w="12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-0.1%p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Commercial &amp; Professional Services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92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-1.6%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-1.5%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18%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-0.3%p</w:t>
            </w:r>
          </w:p>
        </w:tc>
      </w:tr>
    </w:tbl>
    <w:p>
      <w:pPr>
        <w:keepNext w:val="false"/>
        <w:spacing w:after="40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4"/>
          <w:szCs w:val="4"/>
        </w:rPr>
        <w:t xml:space="preserve"/>
      </w:r>
    </w:p>
    <w:p>
      <w:pPr>
        <w:pStyle w:val="Heading2"/>
        <w:keepNext/>
        <w:spacing w:after="100" w:before="170"/>
      </w:pPr>
      <w:r>
        <w:t xml:space="preserve">상승 종목과 하락 종목</w:t>
      </w:r>
    </w:p>
    <w:p>
      <w:pPr>
        <w:keepNext w:val="false"/>
        <w:spacing w:after="7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6"/>
          <w:szCs w:val="16"/>
        </w:rPr>
        <w:t xml:space="preserve">섹터 내 유효 종목을 수익률 순으로 정렬해 상승 상위와 하락 하위를 각각 최대 8개 표시했다.</w:t>
      </w:r>
    </w:p>
    <w:tbl>
      <w:tblPr>
        <w:tblW w:type="dxa" w:w="936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1500"/>
        <w:gridCol w:w="1050"/>
        <w:gridCol w:w="1430"/>
        <w:gridCol w:w="700"/>
        <w:gridCol w:w="1500"/>
        <w:gridCol w:w="1050"/>
        <w:gridCol w:w="1430"/>
        <w:gridCol w:w="700"/>
      </w:tblGrid>
      <w:tr>
        <w:trPr>
          <w:cantSplit/>
          <w:tblHeader/>
        </w:trPr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상승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하락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Iseki &amp;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6310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+13.3%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Fukuda Corp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1899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-11.6%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LTS Inc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6560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Commercial &amp; Professional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+7.6%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Toyo Engineering Corp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6330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-11.0%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Kubota Corp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6326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+6.4%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Teikoku Sen-I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3302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-10.2%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W-Scope Corp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6619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+6.3%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Recruit Holdings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6098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Commercial &amp; Professional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-8.8%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Soda Nikka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8158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+6.0%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Nikkiso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6376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-8.7%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Tsubaki Nakashima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6464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+6.0%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Meidensha Corp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6508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-7.8%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Tsurumi Manufacturing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6351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+5.8%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Tess Holdings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5074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-7.3%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YAMABIKO Corp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6250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+5.7%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Kawasaki Heavy Industries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7012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-7.2%</w:t>
            </w:r>
          </w:p>
        </w:tc>
      </w:tr>
    </w:tbl>
    <w:p>
      <w:pPr>
        <w:pStyle w:val="Heading1"/>
        <w:keepNext/>
        <w:pageBreakBefore/>
        <w:spacing w:after="100" w:before="220"/>
      </w:pPr>
      <w:r>
        <w:t xml:space="preserve">7. Consumer Discretionary · 약세 확산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5거래일 동일가중 평균 -1.5%, 중앙값 -1.4%, 시장 대비 -0.1%p다. 상승 종목 비율은 26%, 유효 표본은 290개다.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산업 구조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4개 산업그룹 중 Consumer Services가 -0.8%로 가장 강했고, Consumer Durables &amp; Apparel가 -2.1%로 가장 약했다. 산업 간 스프레드는 +1.4%p다.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평균수익률과 breadth가 모두 약해 섹터 전반의 매도 압력이 우세했다. 종목 간 수익률 분산도 시장 전체보다 커 개별 종목 선택의 영향이 컸다.</w:t>
      </w:r>
    </w:p>
    <w:p>
      <w:pPr>
        <w:spacing w:after="55" w:before="60"/>
        <w:jc w:val="center"/>
      </w:pPr>
      <w:r>
        <w:drawing>
          <wp:inline distT="0" distB="0" distL="0" distR="0">
            <wp:extent cx="5876925" cy="2286000"/>
            <wp:effectExtent t="0" r="0" b="0" l="0"/>
            <wp:docPr id="1" name="topix_consumer_discretionary_industries_5d_20260904.png" descr="topix_consumer_discretionary_industries_5d_20260904.png" title="topix_consumer_discretionary_industries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10. Consumer Discretionary 산업그룹 최근 5거래일 성과</w:t>
      </w:r>
    </w:p>
    <w:tbl>
      <w:tblPr>
        <w:tblW w:type="dxa" w:w="805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3000"/>
        <w:gridCol w:w="650"/>
        <w:gridCol w:w="1050"/>
        <w:gridCol w:w="1050"/>
        <w:gridCol w:w="1050"/>
        <w:gridCol w:w="1250"/>
      </w:tblGrid>
      <w:tr>
        <w:trPr>
          <w:cantSplit/>
          <w:tblHeader/>
        </w:trPr>
        <w:tc>
          <w:tcPr>
            <w:tcW w:type="dxa" w:w="30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GICS Industry Group</w:t>
            </w:r>
          </w:p>
        </w:tc>
        <w:tc>
          <w:tcPr>
            <w:tcW w:type="dxa" w:w="6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5D 평균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중앙값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상승 비율</w:t>
            </w:r>
          </w:p>
        </w:tc>
        <w:tc>
          <w:tcPr>
            <w:tcW w:type="dxa" w:w="12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섹터 대비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Consumer Services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79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-0.8%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-1.0%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30%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+0.7%p</w:t>
            </w:r>
          </w:p>
        </w:tc>
      </w:tr>
      <w:tr>
        <w:trPr>
          <w:cantSplit/>
        </w:trPr>
        <w:tc>
          <w:tcPr>
            <w:tcW w:type="dxa" w:w="30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Automobiles &amp; Components</w:t>
            </w:r>
          </w:p>
        </w:tc>
        <w:tc>
          <w:tcPr>
            <w:tcW w:type="dxa" w:w="6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62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-1.0%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-1.1%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27%</w:t>
            </w:r>
          </w:p>
        </w:tc>
        <w:tc>
          <w:tcPr>
            <w:tcW w:type="dxa" w:w="12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+0.5%p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Consumer Discretionary Distribution &amp; Retail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76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-1.9%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-1.8%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24%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-0.5%p</w:t>
            </w:r>
          </w:p>
        </w:tc>
      </w:tr>
      <w:tr>
        <w:trPr>
          <w:cantSplit/>
        </w:trPr>
        <w:tc>
          <w:tcPr>
            <w:tcW w:type="dxa" w:w="30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Consumer Durables &amp; Apparel</w:t>
            </w:r>
          </w:p>
        </w:tc>
        <w:tc>
          <w:tcPr>
            <w:tcW w:type="dxa" w:w="6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73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-2.1%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-1.6%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22%</w:t>
            </w:r>
          </w:p>
        </w:tc>
        <w:tc>
          <w:tcPr>
            <w:tcW w:type="dxa" w:w="12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-0.7%p</w:t>
            </w:r>
          </w:p>
        </w:tc>
      </w:tr>
    </w:tbl>
    <w:p>
      <w:pPr>
        <w:keepNext w:val="false"/>
        <w:spacing w:after="40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4"/>
          <w:szCs w:val="4"/>
        </w:rPr>
        <w:t xml:space="preserve"/>
      </w:r>
    </w:p>
    <w:p>
      <w:pPr>
        <w:pStyle w:val="Heading2"/>
        <w:keepNext/>
        <w:spacing w:after="100" w:before="170"/>
      </w:pPr>
      <w:r>
        <w:t xml:space="preserve">상승 종목과 하락 종목</w:t>
      </w:r>
    </w:p>
    <w:p>
      <w:pPr>
        <w:keepNext w:val="false"/>
        <w:spacing w:after="7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6"/>
          <w:szCs w:val="16"/>
        </w:rPr>
        <w:t xml:space="preserve">섹터 내 유효 종목을 수익률 순으로 정렬해 상승 상위와 하락 하위를 각각 최대 8개 표시했다.</w:t>
      </w:r>
    </w:p>
    <w:tbl>
      <w:tblPr>
        <w:tblW w:type="dxa" w:w="936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1500"/>
        <w:gridCol w:w="1050"/>
        <w:gridCol w:w="1430"/>
        <w:gridCol w:w="700"/>
        <w:gridCol w:w="1500"/>
        <w:gridCol w:w="1050"/>
        <w:gridCol w:w="1430"/>
        <w:gridCol w:w="700"/>
      </w:tblGrid>
      <w:tr>
        <w:trPr>
          <w:cantSplit/>
          <w:tblHeader/>
        </w:trPr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상승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하락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Ichibanya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7630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+16.0%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Matsuya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8237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Discretionary Distribution &amp; Retail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-19.9%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Topre Corp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5975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Automobiles &amp; Components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+8.9%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Unitika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3103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Durables &amp; Apparel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-15.5%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JTEKT Corp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6473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Automobiles &amp; Components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+7.5%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Sanyo Shokai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8011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Durables &amp; Apparel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-15.3%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Beauty Garage Inc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3180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+7.1%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Ki-Star Real Estate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3465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Durables &amp; Apparel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-12.2%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Ichikoh Industries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7244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Automobiles &amp; Components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+6.6%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Seiko Group Corp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8050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Durables &amp; Apparel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-10.6%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Nitori Holdings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9843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Discretionary Distribution &amp; Retail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+6.1%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Isetan Mitsukoshi Holdings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3099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Discretionary Distribution &amp; Retail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-9.4%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Temairazu Inc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2477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+5.9%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J Front Retailing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3086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Discretionary Distribution &amp; Retail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-9.2%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Waseda Academy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4718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+4.5%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Treasure Factory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3093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Discretionary Distribution &amp; Retail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-8.9%</w:t>
            </w:r>
          </w:p>
        </w:tc>
      </w:tr>
    </w:tbl>
    <w:p>
      <w:pPr>
        <w:pStyle w:val="Heading1"/>
        <w:keepNext/>
        <w:pageBreakBefore/>
        <w:spacing w:after="100" w:before="220"/>
      </w:pPr>
      <w:r>
        <w:t xml:space="preserve">8. Real Estate · 약세 확산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5거래일 동일가중 평균 -1.9%, 중앙값 -1.8%, 시장 대비 -0.6%p다. 상승 종목 비율은 11%, 유효 표본은 37개다.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산업 구조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Real Estate Management &amp; Development 단일 산업그룹으로 구성돼 산업 간 상대비교는 하지 않는다. 해당 산업그룹의 수익률은 -1.9%다.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평균수익률과 breadth가 모두 약해 섹터 전반의 매도 압력이 우세했다. 종목 간 분산은 시장 전체보다 낮아 방향성이 비교적 고르게 나타났다.</w:t>
      </w:r>
    </w:p>
    <w:p>
      <w:pPr>
        <w:spacing w:after="55" w:before="60"/>
        <w:jc w:val="center"/>
      </w:pPr>
      <w:r>
        <w:drawing>
          <wp:inline distT="0" distB="0" distL="0" distR="0">
            <wp:extent cx="5876925" cy="2286000"/>
            <wp:effectExtent t="0" r="0" b="0" l="0"/>
            <wp:docPr id="1" name="topix_real_estate_industries_5d_20260904.png" descr="topix_real_estate_industries_5d_20260904.png" title="topix_real_estate_industries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11. Real Estate 산업그룹 최근 5거래일 성과</w:t>
      </w:r>
    </w:p>
    <w:tbl>
      <w:tblPr>
        <w:tblW w:type="dxa" w:w="805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3000"/>
        <w:gridCol w:w="650"/>
        <w:gridCol w:w="1050"/>
        <w:gridCol w:w="1050"/>
        <w:gridCol w:w="1050"/>
        <w:gridCol w:w="1250"/>
      </w:tblGrid>
      <w:tr>
        <w:trPr>
          <w:cantSplit/>
          <w:tblHeader/>
        </w:trPr>
        <w:tc>
          <w:tcPr>
            <w:tcW w:type="dxa" w:w="30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GICS Industry Group</w:t>
            </w:r>
          </w:p>
        </w:tc>
        <w:tc>
          <w:tcPr>
            <w:tcW w:type="dxa" w:w="6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5D 평균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중앙값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상승 비율</w:t>
            </w:r>
          </w:p>
        </w:tc>
        <w:tc>
          <w:tcPr>
            <w:tcW w:type="dxa" w:w="12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섹터 대비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Real Estate Management &amp; Development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37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-1.9%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-1.8%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11%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+0.0%p</w:t>
            </w:r>
          </w:p>
        </w:tc>
      </w:tr>
    </w:tbl>
    <w:p>
      <w:pPr>
        <w:keepNext w:val="false"/>
        <w:spacing w:after="40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4"/>
          <w:szCs w:val="4"/>
        </w:rPr>
        <w:t xml:space="preserve"/>
      </w:r>
    </w:p>
    <w:p>
      <w:pPr>
        <w:pStyle w:val="Heading2"/>
        <w:keepNext/>
        <w:spacing w:after="100" w:before="170"/>
      </w:pPr>
      <w:r>
        <w:t xml:space="preserve">상승 종목과 하락 종목</w:t>
      </w:r>
    </w:p>
    <w:p>
      <w:pPr>
        <w:keepNext w:val="false"/>
        <w:spacing w:after="7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6"/>
          <w:szCs w:val="16"/>
        </w:rPr>
        <w:t xml:space="preserve">섹터 내 유효 종목을 수익률 순으로 정렬해 상승 상위와 하락 하위를 각각 최대 8개 표시했다.</w:t>
      </w:r>
    </w:p>
    <w:tbl>
      <w:tblPr>
        <w:tblW w:type="dxa" w:w="936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1500"/>
        <w:gridCol w:w="1050"/>
        <w:gridCol w:w="1430"/>
        <w:gridCol w:w="700"/>
        <w:gridCol w:w="1500"/>
        <w:gridCol w:w="1050"/>
        <w:gridCol w:w="1430"/>
        <w:gridCol w:w="700"/>
      </w:tblGrid>
      <w:tr>
        <w:trPr>
          <w:cantSplit/>
          <w:tblHeader/>
        </w:trPr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상승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하락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Relo Group Inc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8876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Real Estate Management &amp; Development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+3.8%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Star Mica Holdings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2975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Real Estate Management &amp; Development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-6.1%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Miyakoshi Holdings Inc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6620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Real Estate Management &amp; Development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+3.6%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NS Group Inc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471A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Real Estate Management &amp; Development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-6.0%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Leopalace21 Corp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8848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Real Estate Management &amp; Development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+3.0%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Katitas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8919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Real Estate Management &amp; Development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-5.7%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Starts Corp Inc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8850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Real Estate Management &amp; Development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+0.5%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Kasumigaseki Capital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3498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Real Estate Management &amp; Development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-5.3%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AZOOM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3496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Real Estate Management &amp; Development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-5.3%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Sumitomo Realty &amp; Development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8830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Real Estate Management &amp; Development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-4.7%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Tosei Corp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8923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Real Estate Management &amp; Development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-4.6%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Dear Life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3245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Real Estate Management &amp; Development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-3.6%</w:t>
            </w:r>
          </w:p>
        </w:tc>
      </w:tr>
    </w:tbl>
    <w:p>
      <w:pPr>
        <w:pStyle w:val="Heading1"/>
        <w:keepNext/>
        <w:pageBreakBefore/>
        <w:spacing w:after="100" w:before="220"/>
      </w:pPr>
      <w:r>
        <w:t xml:space="preserve">9. Information Technology · 약세 확산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5거래일 동일가중 평균 -1.9%, 중앙값 -1.9%, 시장 대비 -0.6%p다. 상승 종목 비율은 21%, 유효 표본은 247개다.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산업 구조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3개 산업그룹 중 Technology Hardware &amp; Equipment가 -1.6%로 가장 강했고, Semiconductors &amp; Semiconductor Equipment가 -3.3%로 가장 약했다. 산업 간 스프레드는 +1.7%p다.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평균수익률과 breadth가 모두 약해 섹터 전반의 매도 압력이 우세했다. 종목 간 수익률 분산도 시장 전체보다 커 개별 종목 선택의 영향이 컸다.</w:t>
      </w:r>
    </w:p>
    <w:p>
      <w:pPr>
        <w:spacing w:after="55" w:before="60"/>
        <w:jc w:val="center"/>
      </w:pPr>
      <w:r>
        <w:drawing>
          <wp:inline distT="0" distB="0" distL="0" distR="0">
            <wp:extent cx="5876925" cy="2286000"/>
            <wp:effectExtent t="0" r="0" b="0" l="0"/>
            <wp:docPr id="1" name="topix_information_technology_industries_5d_20260904.png" descr="topix_information_technology_industries_5d_20260904.png" title="topix_information_technology_industries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12. Information Technology 산업그룹 최근 5거래일 성과</w:t>
      </w:r>
    </w:p>
    <w:tbl>
      <w:tblPr>
        <w:tblW w:type="dxa" w:w="805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3000"/>
        <w:gridCol w:w="650"/>
        <w:gridCol w:w="1050"/>
        <w:gridCol w:w="1050"/>
        <w:gridCol w:w="1050"/>
        <w:gridCol w:w="1250"/>
      </w:tblGrid>
      <w:tr>
        <w:trPr>
          <w:cantSplit/>
          <w:tblHeader/>
        </w:trPr>
        <w:tc>
          <w:tcPr>
            <w:tcW w:type="dxa" w:w="30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GICS Industry Group</w:t>
            </w:r>
          </w:p>
        </w:tc>
        <w:tc>
          <w:tcPr>
            <w:tcW w:type="dxa" w:w="6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5D 평균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중앙값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상승 비율</w:t>
            </w:r>
          </w:p>
        </w:tc>
        <w:tc>
          <w:tcPr>
            <w:tcW w:type="dxa" w:w="12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섹터 대비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Technology Hardware &amp; Equipment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107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-1.6%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-1.5%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25%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+0.4%p</w:t>
            </w:r>
          </w:p>
        </w:tc>
      </w:tr>
      <w:tr>
        <w:trPr>
          <w:cantSplit/>
        </w:trPr>
        <w:tc>
          <w:tcPr>
            <w:tcW w:type="dxa" w:w="30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Software &amp; Services</w:t>
            </w:r>
          </w:p>
        </w:tc>
        <w:tc>
          <w:tcPr>
            <w:tcW w:type="dxa" w:w="6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106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-1.9%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-1.8%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21%</w:t>
            </w:r>
          </w:p>
        </w:tc>
        <w:tc>
          <w:tcPr>
            <w:tcW w:type="dxa" w:w="12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+0.1%p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Semiconductors &amp; Semiconductor Equipment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34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-3.3%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-3.8%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-1.4%p</w:t>
            </w:r>
          </w:p>
        </w:tc>
      </w:tr>
    </w:tbl>
    <w:p>
      <w:pPr>
        <w:keepNext w:val="false"/>
        <w:spacing w:after="40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4"/>
          <w:szCs w:val="4"/>
        </w:rPr>
        <w:t xml:space="preserve"/>
      </w:r>
    </w:p>
    <w:p>
      <w:pPr>
        <w:pStyle w:val="Heading2"/>
        <w:keepNext/>
        <w:spacing w:after="100" w:before="170"/>
      </w:pPr>
      <w:r>
        <w:t xml:space="preserve">상승 종목과 하락 종목</w:t>
      </w:r>
    </w:p>
    <w:p>
      <w:pPr>
        <w:keepNext w:val="false"/>
        <w:spacing w:after="7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6"/>
          <w:szCs w:val="16"/>
        </w:rPr>
        <w:t xml:space="preserve">섹터 내 유효 종목을 수익률 순으로 정렬해 상승 상위와 하락 하위를 각각 최대 8개 표시했다.</w:t>
      </w:r>
    </w:p>
    <w:tbl>
      <w:tblPr>
        <w:tblW w:type="dxa" w:w="936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1500"/>
        <w:gridCol w:w="1050"/>
        <w:gridCol w:w="1430"/>
        <w:gridCol w:w="700"/>
        <w:gridCol w:w="1500"/>
        <w:gridCol w:w="1050"/>
        <w:gridCol w:w="1430"/>
        <w:gridCol w:w="700"/>
      </w:tblGrid>
      <w:tr>
        <w:trPr>
          <w:cantSplit/>
          <w:tblHeader/>
        </w:trPr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상승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하락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Furuya Metal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7826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Technology Hardware &amp; Equipment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+16.3%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Pro-Ship Inc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3763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Software &amp;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-9.8%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Appier Group Inc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4180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Software &amp;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+14.5%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Micronics Japan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6871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Semiconductors &amp; Semiconductor Equipment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-8.3%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Kioxia Holdings Corp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285A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Semiconductors &amp; Semiconductor Equipment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+13.7%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Disco Corp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6146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Semiconductors &amp; Semiconductor Equipment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-8.2%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Suzuki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6785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Technology Hardware &amp; Equipment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+9.5%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Rorze Corp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6323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Semiconductors &amp; Semiconductor Equipment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-8.1%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Systems Engineering Consultant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3741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Software &amp;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+7.0%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Sanken Electric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6707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Semiconductors &amp; Semiconductor Equipment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-8.1%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eSOL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4420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Software &amp;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+5.9%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Ines Corp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9742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Software &amp;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-7.8%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Miraini Holdings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546A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Technology Hardware &amp; Equipment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+5.9%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Celsys Inc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3663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Software &amp;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-7.7%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TDC Soft Inc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4687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Software &amp;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+4.4%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Yokogawa Electric Corp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6841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Technology Hardware &amp; Equipment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-7.7%</w:t>
            </w:r>
          </w:p>
        </w:tc>
      </w:tr>
    </w:tbl>
    <w:p>
      <w:pPr>
        <w:pStyle w:val="Heading1"/>
        <w:keepNext/>
        <w:pageBreakBefore/>
        <w:spacing w:after="100" w:before="220"/>
      </w:pPr>
      <w:r>
        <w:t xml:space="preserve">10. Health Care · 약세 확산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5거래일 동일가중 평균 -2.1%, 중앙값 -1.7%, 시장 대비 -0.8%p다. 상승 종목 비율은 20%, 유효 표본은 79개다.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산업 구조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2개 산업그룹 중 Pharmaceuticals, Biotechnology &amp; Life Sciences가 -1.9%로 가장 강했고, Health Care Equipment &amp; Services가 -2.3%로 가장 약했다. 산업 간 스프레드는 +0.4%p다.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평균수익률과 breadth가 모두 약해 섹터 전반의 매도 압력이 우세했다. 종목 간 수익률 분산도 시장 전체보다 커 개별 종목 선택의 영향이 컸다.</w:t>
      </w:r>
    </w:p>
    <w:p>
      <w:pPr>
        <w:spacing w:after="55" w:before="60"/>
        <w:jc w:val="center"/>
      </w:pPr>
      <w:r>
        <w:drawing>
          <wp:inline distT="0" distB="0" distL="0" distR="0">
            <wp:extent cx="5876925" cy="2286000"/>
            <wp:effectExtent t="0" r="0" b="0" l="0"/>
            <wp:docPr id="1" name="topix_health_care_industries_5d_20260904.png" descr="topix_health_care_industries_5d_20260904.png" title="topix_health_care_industries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13. Health Care 산업그룹 최근 5거래일 성과</w:t>
      </w:r>
    </w:p>
    <w:tbl>
      <w:tblPr>
        <w:tblW w:type="dxa" w:w="805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3000"/>
        <w:gridCol w:w="650"/>
        <w:gridCol w:w="1050"/>
        <w:gridCol w:w="1050"/>
        <w:gridCol w:w="1050"/>
        <w:gridCol w:w="1250"/>
      </w:tblGrid>
      <w:tr>
        <w:trPr>
          <w:cantSplit/>
          <w:tblHeader/>
        </w:trPr>
        <w:tc>
          <w:tcPr>
            <w:tcW w:type="dxa" w:w="30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GICS Industry Group</w:t>
            </w:r>
          </w:p>
        </w:tc>
        <w:tc>
          <w:tcPr>
            <w:tcW w:type="dxa" w:w="6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5D 평균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중앙값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상승 비율</w:t>
            </w:r>
          </w:p>
        </w:tc>
        <w:tc>
          <w:tcPr>
            <w:tcW w:type="dxa" w:w="12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섹터 대비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Pharmaceuticals, Biotechnology &amp; Life Sciences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32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-1.9%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-1.8%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13%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+0.2%p</w:t>
            </w:r>
          </w:p>
        </w:tc>
      </w:tr>
      <w:tr>
        <w:trPr>
          <w:cantSplit/>
        </w:trPr>
        <w:tc>
          <w:tcPr>
            <w:tcW w:type="dxa" w:w="30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Health Care Equipment &amp; Services</w:t>
            </w:r>
          </w:p>
        </w:tc>
        <w:tc>
          <w:tcPr>
            <w:tcW w:type="dxa" w:w="6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47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-2.3%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-1.3%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26%</w:t>
            </w:r>
          </w:p>
        </w:tc>
        <w:tc>
          <w:tcPr>
            <w:tcW w:type="dxa" w:w="12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-0.1%p</w:t>
            </w:r>
          </w:p>
        </w:tc>
      </w:tr>
    </w:tbl>
    <w:p>
      <w:pPr>
        <w:keepNext w:val="false"/>
        <w:spacing w:after="40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4"/>
          <w:szCs w:val="4"/>
        </w:rPr>
        <w:t xml:space="preserve"/>
      </w:r>
    </w:p>
    <w:p>
      <w:pPr>
        <w:pStyle w:val="Heading2"/>
        <w:keepNext/>
        <w:spacing w:after="100" w:before="170"/>
      </w:pPr>
      <w:r>
        <w:t xml:space="preserve">상승 종목과 하락 종목</w:t>
      </w:r>
    </w:p>
    <w:p>
      <w:pPr>
        <w:keepNext w:val="false"/>
        <w:spacing w:after="7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6"/>
          <w:szCs w:val="16"/>
        </w:rPr>
        <w:t xml:space="preserve">섹터 내 유효 종목을 수익률 순으로 정렬해 상승 상위와 하락 하위를 각각 최대 8개 표시했다.</w:t>
      </w:r>
    </w:p>
    <w:tbl>
      <w:tblPr>
        <w:tblW w:type="dxa" w:w="936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1500"/>
        <w:gridCol w:w="1050"/>
        <w:gridCol w:w="1430"/>
        <w:gridCol w:w="700"/>
        <w:gridCol w:w="1500"/>
        <w:gridCol w:w="1050"/>
        <w:gridCol w:w="1430"/>
        <w:gridCol w:w="700"/>
      </w:tblGrid>
      <w:tr>
        <w:trPr>
          <w:cantSplit/>
          <w:tblHeader/>
        </w:trPr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상승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하락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Sumitomo Pharma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4506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Pharmaceuticals, Biotechnology &amp; Life Sciences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+11.3%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Japan Medical Dynamic Marketin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7600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Health Care Equipment &amp;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-17.2%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Ship Healthcare Holdings Inc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3360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Health Care Equipment &amp;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+2.2%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Kyowa Kirin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4151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Pharmaceuticals, Biotechnology &amp; Life Sciences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-9.8%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JMDC Inc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4483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Health Care Equipment &amp;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+2.1%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Towa Pharmaceutical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4553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Pharmaceuticals, Biotechnology &amp; Life Sciences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-9.0%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Eiken Chemical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4549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Health Care Equipment &amp;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+1.9%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Asahi Intecc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7747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Health Care Equipment &amp;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-7.6%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Nxera Pharma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4565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Pharmaceuticals, Biotechnology &amp; Life Sciences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+1.6%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Kanamic Network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3939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Health Care Equipment &amp;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-7.2%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Medipal Holdings Corp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7459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Health Care Equipment &amp;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+1.2%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PHC Holdings Corp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6523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Health Care Equipment &amp;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-6.8%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CellSource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4880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Pharmaceuticals, Biotechnology &amp; Life Sciences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+0.9%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GENOVA Inc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9341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Health Care Equipment &amp;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-6.4%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FALCO HOLDINGS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4671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Health Care Equipment &amp;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+0.8%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Medley Inc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4480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Health Care Equipment &amp;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-5.9%</w:t>
            </w:r>
          </w:p>
        </w:tc>
      </w:tr>
    </w:tbl>
    <w:p>
      <w:pPr>
        <w:pStyle w:val="Heading1"/>
        <w:keepNext/>
        <w:pageBreakBefore/>
        <w:spacing w:after="100" w:before="220"/>
      </w:pPr>
      <w:r>
        <w:t xml:space="preserve">11. Materials · 약세 확산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5거래일 동일가중 평균 -2.2%, 중앙값 -2.1%, 시장 대비 -0.8%p다. 상승 종목 비율은 25%, 유효 표본은 157개다.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산업 구조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Materials 단일 산업그룹으로 구성돼 산업 간 상대비교는 하지 않는다. 해당 산업그룹의 수익률은 -2.2%다.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평균수익률과 breadth가 모두 약해 섹터 전반의 매도 압력이 우세했다. 종목 간 수익률 분산도 시장 전체보다 커 개별 종목 선택의 영향이 컸다.</w:t>
      </w:r>
    </w:p>
    <w:p>
      <w:pPr>
        <w:spacing w:after="55" w:before="60"/>
        <w:jc w:val="center"/>
      </w:pPr>
      <w:r>
        <w:drawing>
          <wp:inline distT="0" distB="0" distL="0" distR="0">
            <wp:extent cx="5876925" cy="2286000"/>
            <wp:effectExtent t="0" r="0" b="0" l="0"/>
            <wp:docPr id="1" name="topix_materials_industries_5d_20260904.png" descr="topix_materials_industries_5d_20260904.png" title="topix_materials_industries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14. Materials 산업그룹 최근 5거래일 성과</w:t>
      </w:r>
    </w:p>
    <w:tbl>
      <w:tblPr>
        <w:tblW w:type="dxa" w:w="805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3000"/>
        <w:gridCol w:w="650"/>
        <w:gridCol w:w="1050"/>
        <w:gridCol w:w="1050"/>
        <w:gridCol w:w="1050"/>
        <w:gridCol w:w="1250"/>
      </w:tblGrid>
      <w:tr>
        <w:trPr>
          <w:cantSplit/>
          <w:tblHeader/>
        </w:trPr>
        <w:tc>
          <w:tcPr>
            <w:tcW w:type="dxa" w:w="30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GICS Industry Group</w:t>
            </w:r>
          </w:p>
        </w:tc>
        <w:tc>
          <w:tcPr>
            <w:tcW w:type="dxa" w:w="6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5D 평균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중앙값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상승 비율</w:t>
            </w:r>
          </w:p>
        </w:tc>
        <w:tc>
          <w:tcPr>
            <w:tcW w:type="dxa" w:w="12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섹터 대비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Materials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157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-2.2%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-2.1%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25%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+0.0%p</w:t>
            </w:r>
          </w:p>
        </w:tc>
      </w:tr>
    </w:tbl>
    <w:p>
      <w:pPr>
        <w:keepNext w:val="false"/>
        <w:spacing w:after="40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4"/>
          <w:szCs w:val="4"/>
        </w:rPr>
        <w:t xml:space="preserve"/>
      </w:r>
    </w:p>
    <w:p>
      <w:pPr>
        <w:pStyle w:val="Heading2"/>
        <w:keepNext/>
        <w:spacing w:after="100" w:before="170"/>
      </w:pPr>
      <w:r>
        <w:t xml:space="preserve">상승 종목과 하락 종목</w:t>
      </w:r>
    </w:p>
    <w:p>
      <w:pPr>
        <w:keepNext w:val="false"/>
        <w:spacing w:after="7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6"/>
          <w:szCs w:val="16"/>
        </w:rPr>
        <w:t xml:space="preserve">섹터 내 유효 종목을 수익률 순으로 정렬해 상승 상위와 하락 하위를 각각 최대 8개 표시했다.</w:t>
      </w:r>
    </w:p>
    <w:tbl>
      <w:tblPr>
        <w:tblW w:type="dxa" w:w="936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1500"/>
        <w:gridCol w:w="1050"/>
        <w:gridCol w:w="1430"/>
        <w:gridCol w:w="700"/>
        <w:gridCol w:w="1500"/>
        <w:gridCol w:w="1050"/>
        <w:gridCol w:w="1430"/>
        <w:gridCol w:w="700"/>
      </w:tblGrid>
      <w:tr>
        <w:trPr>
          <w:cantSplit/>
          <w:tblHeader/>
        </w:trPr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상승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하락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Oat Agrio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4979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+10.3%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Nittetsu Mining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1515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-15.7%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Tokai Carbon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5301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+8.2%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Toho Zinc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5707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-14.3%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KeePer Technical Laboratory Co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6036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+7.4%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Mitsubishi Materials Corp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5711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-13.7%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Sumitomo Chemical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4005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+7.0%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Sumitomo Metal Mining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5713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-12.6%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Tayca Corp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4027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+5.4%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Mitsui Kinzoku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5706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-11.6%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Nippon Carbide Industries Co I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4064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+4.9%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Dowa Holdings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5714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-11.0%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Mitsubishi Chemical Group Corp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4188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+4.6%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Carlit Co Ltd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4275 JT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-10.4%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Nihon Nohyaku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4997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+4.0%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Kanto Denka Kogyo Co Ltd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4047 JT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-9.2%</w:t>
            </w:r>
          </w:p>
        </w:tc>
      </w:tr>
    </w:tbl>
    <w:p>
      <w:r>
        <w:br w:type="page"/>
      </w:r>
    </w:p>
    <w:p>
      <w:pPr>
        <w:pStyle w:val="Heading1"/>
        <w:keepNext/>
        <w:spacing w:after="100" w:before="220"/>
      </w:pPr>
      <w:r>
        <w:t xml:space="preserve">활용 방법과 계산 정의</w:t>
      </w:r>
    </w:p>
    <w:p>
      <w:pPr>
        <w:pStyle w:val="Heading2"/>
        <w:keepNext/>
        <w:spacing w:after="100" w:before="170"/>
      </w:pPr>
      <w:r>
        <w:t xml:space="preserve">발표에서 먼저 볼 순서</w:t>
      </w:r>
    </w:p>
    <w:p>
      <w:pPr>
        <w:keepNext w:val="false"/>
        <w:spacing w:after="10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① 전체 섹터 성과표에서 선두·최하위와 스프레드를 확인한다. ② 섹터 수익률 그림과 breadth 그림이 같은 방향인지 본다. ③ 산업그룹 그림에서 섹터 내부의 주도 산업을 찾는다. ④ 섹터별 상·하위 종목 표에서 평균이 한두 종목에 의해 왜곡됐는지 점검한다.</w:t>
      </w:r>
    </w:p>
    <w:p>
      <w:pPr>
        <w:pStyle w:val="Heading2"/>
        <w:keepNext/>
        <w:spacing w:after="100" w:before="170"/>
      </w:pPr>
      <w:r>
        <w:t xml:space="preserve">기간 정의</w:t>
      </w:r>
    </w:p>
    <w:p>
      <w:pPr>
        <w:keepNext w:val="false"/>
        <w:spacing w:after="10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5D=2026-08-28 종가 대비 2026-09-04 종가의 단순수익률이다. 유효 거래일 종가 여섯 개를 사용해 정확히 다섯 거래 세션의 변화를 측정했다. 사용한 종가는 2026-08-28, 2026-08-31, 2026-09-01, 2026-09-02, 2026-09-03, 2026-09-04다.</w:t>
      </w:r>
    </w:p>
    <w:p>
      <w:pPr>
        <w:pStyle w:val="Heading2"/>
        <w:keepNext/>
        <w:spacing w:after="100" w:before="170"/>
      </w:pPr>
      <w:r>
        <w:t xml:space="preserve">분류와 집계</w:t>
      </w:r>
    </w:p>
    <w:p>
      <w:pPr>
        <w:keepNext w:val="false"/>
        <w:spacing w:after="10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분류는 원천 BQL의 GICS Sector와 GICS Industry Group을 사용한다. 섹터·산업 수익률은 유효 구성종목의 현지통화 가격수익률을 동일가중 산술평균한다. 유럽은 통화가 혼재하므로 환산되지 않은 시가총액 가중보다 동일가중 방식이 비교 가능성이 높다.</w:t>
      </w:r>
    </w:p>
    <w:p>
      <w:pPr>
        <w:pStyle w:val="Heading2"/>
        <w:keepNext/>
        <w:spacing w:after="100" w:before="170"/>
      </w:pPr>
      <w:r>
        <w:t xml:space="preserve">데이터 주의사항</w:t>
      </w:r>
    </w:p>
    <w:p>
      <w:pPr>
        <w:keepNext w:val="false"/>
        <w:spacing w:after="10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9"/>
          <w:szCs w:val="19"/>
        </w:rPr>
        <w:t xml:space="preserve">현재 구성종목을 과거 구간에 소급하므로 생존편향이 있다. 배당과 환율 효과는 제외한다. 가격과 시가총액의 연속성이 크게 어긋나는 명백한 기업행위 의심치 0개는 집계와 순위에서 제외했다. Master의 현재 TOPIX 구성종목·GICS 분류를 유지하고, 부족했던 2026-08-28~2026-09-04 종가는 공개 일별 종가로 복원했다. Master에 존재하는 9월 2~4일 종가와 전 종목을 대조해 가격계열의 일치를 검증했다.</w:t>
      </w:r>
    </w:p>
    <w:p>
      <w:pPr>
        <w:keepNext w:val="false"/>
        <w:spacing w:after="10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원자료: C:\Users\infomax\Documents\ChatGPT\컨텍스트매크로\artifacts\topix_industrials_ai\topix_all_prices_20260828_20260904.json · 시트: TPX500 Raw + validated public daily closes</w:t>
      </w:r>
    </w:p>
    <w:p>
      <w:pPr>
        <w:keepNext w:val="false"/>
        <w:spacing w:after="10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계산 JSON: C:\Users\infomax\Documents\ChatGPT\컨텍스트매크로\artifacts\topix_sector_industry_corrected\data\TOPIX_Sector_Industry_5D_20260904_corrected.json</w:t>
      </w:r>
    </w:p>
    <w:sectPr>
      <w:headerReference w:type="default" r:id="rId7"/>
      <w:footerReference w:type="default" r:id="rId8"/>
      <w:pgSz w:w="12240" w:h="15840" w:orient="portrait"/>
      <w:pgMar w:top="650" w:right="650" w:bottom="650" w:left="650" w:header="320" w:footer="3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3"/>
        <w:szCs w:val="13"/>
      </w:rPr>
      <w:t xml:space="preserve">2026-09-04  |  </w:t>
    </w:r>
    <w:r>
      <w:rPr>
        <w:rFonts w:ascii="Malgun Gothic" w:cs="Malgun Gothic" w:eastAsia="Malgun Gothic" w:hAnsi="Malgun Gothic"/>
        <w:color w:val="666666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3"/>
        <w:szCs w:val="13"/>
      </w:rPr>
      <w:t xml:space="preserve">TOPIX · Sector and Industry · 5D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spacing w:line="28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20"/>
      <w:jc w:val="center"/>
    </w:pPr>
    <w:rPr>
      <w:rFonts w:ascii="Malgun Gothic" w:cs="Malgun Gothic" w:eastAsia="Malgun Gothic" w:hAnsi="Malgun Gothic"/>
      <w:b/>
      <w:bCs/>
      <w:color w:val="17365D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10" w:before="220"/>
      <w:outlineLvl w:val="0"/>
    </w:pPr>
    <w:rPr>
      <w:rFonts w:ascii="Malgun Gothic" w:cs="Malgun Gothic" w:eastAsia="Malgun Gothic" w:hAnsi="Malgun Gothic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Malgun Gothic" w:cs="Malgun Gothic" w:eastAsia="Malgun Gothic" w:hAnsi="Malgun Gothic"/>
      <w:b/>
      <w:bCs/>
      <w:color w:val="2F75B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ad0ccf5d2f31f3a0432ec127cc826500de04c3a.png"/><Relationship Id="rId10" Type="http://schemas.openxmlformats.org/officeDocument/2006/relationships/image" Target="media/80483be348849a1e07c04624f88b576dfa37b072.png"/><Relationship Id="rId11" Type="http://schemas.openxmlformats.org/officeDocument/2006/relationships/image" Target="media/46b1585196aff305ba4edbe720d133a52e4a9b95.png"/><Relationship Id="rId12" Type="http://schemas.openxmlformats.org/officeDocument/2006/relationships/image" Target="media/f81e9b2ccf17bc7790e8038d5d0e43fa714094ec.png"/><Relationship Id="rId13" Type="http://schemas.openxmlformats.org/officeDocument/2006/relationships/image" Target="media/19de93ab66660edcc4934d8d3f37bf9ec3b1167f.png"/><Relationship Id="rId14" Type="http://schemas.openxmlformats.org/officeDocument/2006/relationships/image" Target="media/845276bfaf4e5fd2cf08f624577230fe3f021883.png"/><Relationship Id="rId15" Type="http://schemas.openxmlformats.org/officeDocument/2006/relationships/image" Target="media/fb300f9570b01bb75d166a45bb7e7a7a3d6e9f6b.png"/><Relationship Id="rId16" Type="http://schemas.openxmlformats.org/officeDocument/2006/relationships/image" Target="media/42114caf2d1b50dd37985501ec5b5a708cd5e20a.png"/><Relationship Id="rId17" Type="http://schemas.openxmlformats.org/officeDocument/2006/relationships/image" Target="media/9948cf9882e329c690a31c40becb1166a0c5f6c0.png"/><Relationship Id="rId18" Type="http://schemas.openxmlformats.org/officeDocument/2006/relationships/image" Target="media/9affc60a632290b64c32de7a8cfcc4f5c4b1b6ea.png"/><Relationship Id="rId19" Type="http://schemas.openxmlformats.org/officeDocument/2006/relationships/image" Target="media/0e07709825b7d35e16ee006d46d3df7ee9d14809.png"/><Relationship Id="rId20" Type="http://schemas.openxmlformats.org/officeDocument/2006/relationships/image" Target="media/531505257c4db91e4e26be76998ed1f738aec263.png"/><Relationship Id="rId21" Type="http://schemas.openxmlformats.org/officeDocument/2006/relationships/image" Target="media/c913621ff17d0714f7e8e32124552b6d44f1b724.png"/><Relationship Id="rId22" Type="http://schemas.openxmlformats.org/officeDocument/2006/relationships/image" Target="media/9be82ff7fe87f9e898e332637266f38ac2afd9b3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TOPIX 섹터와 산업 최근 5거래일 보고서</dc:title>
  <dc:creator>OpenAI Codex</dc:creator>
  <dc:description>BQuant sector and GICS industry group performance with sector-level top gainers and bottom losers</dc:description>
  <cp:lastModifiedBy>Un-named</cp:lastModifiedBy>
  <cp:revision>1</cp:revision>
  <dcterms:created xsi:type="dcterms:W3CDTF">2026-09-07T18:58:10.397Z</dcterms:created>
  <dcterms:modified xsi:type="dcterms:W3CDTF">2026-09-07T18:58:10.397Z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