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line="310"/>
      </w:pPr>
      <w:r>
        <w:rPr>
          <w:rFonts w:ascii="Malgun Gothic" w:cs="Malgun Gothic" w:eastAsia="Malgun Gothic" w:hAnsi="Malgun Gothic"/>
          <w:b/>
          <w:bCs/>
          <w:color w:val="197C87"/>
          <w:sz w:val="20"/>
          <w:szCs w:val="20"/>
        </w:rPr>
        <w:t xml:space="preserve">DAILY EQUITY RESEARCH · 2026.09.07</w:t>
      </w:r>
    </w:p>
    <w:p>
      <w:pPr>
        <w:pStyle w:val="Title"/>
        <w:spacing w:after="160"/>
      </w:pPr>
      <w:r>
        <w:rPr>
          <w:rFonts w:ascii="Malgun Gothic" w:cs="Malgun Gothic" w:eastAsia="Malgun Gothic" w:hAnsi="Malgun Gothic"/>
          <w:b/>
          <w:bCs/>
          <w:color w:val="17365D"/>
          <w:sz w:val="38"/>
          <w:szCs w:val="38"/>
        </w:rPr>
        <w:t xml:space="preserve">미국 AI 밸류체인 데일리 로테이션</w:t>
      </w:r>
    </w:p>
    <w:p>
      <w:pPr>
        <w:spacing w:after="150" w:line="310"/>
      </w:pPr>
      <w:r>
        <w:rPr>
          <w:rFonts w:ascii="Malgun Gothic" w:cs="Malgun Gothic" w:eastAsia="Malgun Gothic" w:hAnsi="Malgun Gothic"/>
          <w:sz w:val="21"/>
          <w:szCs w:val="21"/>
        </w:rPr>
        <w:t xml:space="preserve">12개 단계 · 73개 분류 종목 | 하루 / 1주 / 1개월 / 3개월</w:t>
      </w:r>
    </w:p>
    <w:p>
      <w:pPr>
        <w:spacing w:after="150" w:line="310"/>
      </w:pPr>
      <w:r>
        <w:rPr>
          <w:rFonts w:ascii="Malgun Gothic" w:cs="Malgun Gothic" w:eastAsia="Malgun Gothic" w:hAnsi="Malgun Gothic"/>
          <w:color w:val="64758B"/>
          <w:sz w:val="18"/>
          <w:szCs w:val="18"/>
        </w:rPr>
        <w:t xml:space="preserve">가격 기준 2026.09.04 종가 | 작성 2026.09.07 | 사용자 제공 BQuant 데이터</w:t>
      </w:r>
    </w:p>
    <w:p>
      <w:pPr>
        <w:pStyle w:val="Heading1"/>
        <w:keepNext/>
        <w:spacing w:after="150" w:before="320"/>
      </w:pPr>
      <w:r>
        <w:rPr>
          <w:rFonts w:ascii="Malgun Gothic" w:cs="Malgun Gothic" w:eastAsia="Malgun Gothic" w:hAnsi="Malgun Gothic"/>
          <w:b/>
          <w:bCs/>
          <w:color w:val="17365D"/>
          <w:sz w:val="28"/>
          <w:szCs w:val="28"/>
        </w:rPr>
        <w:t xml:space="preserve">오늘의 결론</w:t>
      </w:r>
    </w:p>
    <w:p>
      <w:pPr>
        <w:spacing w:after="150" w:line="310"/>
      </w:pPr>
      <w:r>
        <w:rPr>
          <w:rFonts w:ascii="Malgun Gothic" w:cs="Malgun Gothic" w:eastAsia="Malgun Gothic" w:hAnsi="Malgun Gothic"/>
          <w:sz w:val="21"/>
          <w:szCs w:val="21"/>
        </w:rPr>
        <w:t xml:space="preserve">최근 하루는 미국 AI 안에서 소프트웨어보다 하드웨어·전력 쪽이 강했다. 발전 +4.94%, 연산·메모리 +3.46%, 서버·스토리지 +3.20%, 네트워크·광통신 +3.19%에 비해 AI 소프트웨어·서비스는 -2.98%였다. 발전과 소프트웨어의 하루 격차는 약 7.93%p다. 그러나 최근 3개월로 보면 소프트웨어 +7.90%, 네트워크 -16.73%다. 오늘의 방향이 곧 지난 분기의 방향은 아니다.</w:t>
      </w:r>
    </w:p>
    <w:p>
      <w:pPr>
        <w:spacing w:after="150" w:line="310"/>
      </w:pPr>
      <w:r>
        <w:rPr>
          <w:rFonts w:ascii="Malgun Gothic" w:cs="Malgun Gothic" w:eastAsia="Malgun Gothic" w:hAnsi="Malgun Gothic"/>
          <w:sz w:val="21"/>
          <w:szCs w:val="21"/>
        </w:rPr>
        <w:t xml:space="preserve">지수가 약한 날에도 하드웨어·전력이 반등했다는 점이 핵심이다. 다만 가격만으로 실제 자금 유입·유출을 확정하지는 않는다. 본문에서 말하는 로테이션은 단계별 상대수익률의 변화다. 수익률 계산은 기존 미국 S&amp;P 500 확장 분류를 유지했고, 아래에 12개 단계와 73개 분류 종목 전부를 실었다.</w:t>
      </w:r>
    </w:p>
    <w:p>
      <w:pPr>
        <w:keepNext/>
        <w:spacing w:after="80" w:before="170"/>
      </w:pPr>
      <w:r>
        <w:rPr>
          <w:rFonts w:ascii="Malgun Gothic" w:cs="Malgun Gothic" w:eastAsia="Malgun Gothic" w:hAnsi="Malgun Gothic"/>
          <w:b/>
          <w:bCs/>
          <w:color w:val="17365D"/>
          <w:sz w:val="21"/>
          <w:szCs w:val="21"/>
        </w:rPr>
        <w:t xml:space="preserve">밸류체인 전체 — 1D 수익률 내림차순</w:t>
      </w:r>
    </w:p>
    <w:tbl>
      <w:tblPr>
        <w:tblW w:type="dxa" w:w="10380"/>
        <w:tblBorders>
          <w:top w:val="single" w:color="DBE4ED" w:sz="4"/>
          <w:left w:val="none" w:sz="0"/>
          <w:bottom w:val="single" w:color="DBE4ED" w:sz="4"/>
          <w:right w:val="none" w:sz="0"/>
          <w:insideH w:val="single" w:color="DBE4ED" w:sz="3"/>
          <w:insideV w:val="none" w:sz="0"/>
        </w:tblBorders>
      </w:tblPr>
      <w:tblGrid>
        <w:gridCol w:w="3000"/>
        <w:gridCol w:w="780"/>
        <w:gridCol w:w="1200"/>
        <w:gridCol w:w="1200"/>
        <w:gridCol w:w="1200"/>
        <w:gridCol w:w="1200"/>
        <w:gridCol w:w="1800"/>
      </w:tblGrid>
      <w:tr>
        <w:trPr>
          <w:cantSplit/>
          <w:tblHeader/>
        </w:trPr>
        <w:tc>
          <w:tcPr>
            <w:tcW w:type="dxa" w:w="30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단계</w:t>
            </w:r>
          </w:p>
        </w:tc>
        <w:tc>
          <w:tcPr>
            <w:tcW w:type="dxa" w:w="7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유효 수</w:t>
            </w:r>
          </w:p>
        </w:tc>
        <w:tc>
          <w:tcPr>
            <w:tcW w:type="dxa" w:w="12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12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12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12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8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상승 비율</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전력 생산</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+4.94%</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+8.04%</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+5.99%</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-0.15%</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연산·메모리</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+3.46%</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+3.16%</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-1.39%</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-11.08%</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서버·스토리지</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+3.20%</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+4.94%</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+2.28%</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-4.70%</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88.9%</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네트워크·광통신</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+3.19%</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-2.33%</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-6.80%</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-16.73%</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파운드리·반도체 장비·EDA</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+2.14%</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-3.18%</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-8.56%</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-13.62%</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66.7%</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전력·냉각 장비</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7</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+1.65%</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+2.82%</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-5.57%</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-4.94%</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E&amp;C·설계·전기공사</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+1.45%</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+3.84%</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-9.02%</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-13.06%</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100.0%</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REIT·운영사</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3</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+0.50%</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+0.11%</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-3.70%</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-4.99%</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66.7%</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하이퍼스케일러·플랫폼</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+0.13%</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+0.59%</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-0.30%</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-7.49%</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50.0%</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사이버보안</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5</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-0.78%</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-4.31%</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-4.06%</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+4.04%</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20.0%</w:t>
            </w:r>
          </w:p>
        </w:tc>
      </w:tr>
      <w:tr>
        <w:trPr>
          <w:cantSplit/>
          <w:tblHeader w:val="false"/>
        </w:trPr>
        <w:tc>
          <w:tcPr>
            <w:tcW w:type="dxa" w:w="30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엣지·Physical AI</w:t>
            </w:r>
          </w:p>
        </w:tc>
        <w:tc>
          <w:tcPr>
            <w:tcW w:type="dxa" w:w="7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8</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-0.92%</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-0.55%</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-2.06%</w:t>
            </w:r>
          </w:p>
        </w:tc>
        <w:tc>
          <w:tcPr>
            <w:tcW w:type="dxa" w:w="12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-16.55%</w:t>
            </w:r>
          </w:p>
        </w:tc>
        <w:tc>
          <w:tcPr>
            <w:tcW w:type="dxa" w:w="18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62.5%</w:t>
            </w:r>
          </w:p>
        </w:tc>
      </w:tr>
      <w:tr>
        <w:trPr>
          <w:cantSplit/>
          <w:tblHeader w:val="false"/>
        </w:trPr>
        <w:tc>
          <w:tcPr>
            <w:tcW w:type="dxa" w:w="30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소프트웨어·데이터</w:t>
            </w:r>
          </w:p>
        </w:tc>
        <w:tc>
          <w:tcPr>
            <w:tcW w:type="dxa" w:w="7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9</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-2.98%</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-4.20%</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+4.17%</w:t>
            </w:r>
          </w:p>
        </w:tc>
        <w:tc>
          <w:tcPr>
            <w:tcW w:type="dxa" w:w="12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+7.90%</w:t>
            </w:r>
          </w:p>
        </w:tc>
        <w:tc>
          <w:tcPr>
            <w:tcW w:type="dxa" w:w="18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11.1%</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평균 속에서 가려지는 분화</w:t>
      </w:r>
    </w:p>
    <w:p>
      <w:pPr>
        <w:spacing w:after="150" w:line="310"/>
      </w:pPr>
      <w:r>
        <w:rPr>
          <w:rFonts w:ascii="Malgun Gothic" w:cs="Malgun Gothic" w:eastAsia="Malgun Gothic" w:hAnsi="Malgun Gothic"/>
          <w:sz w:val="21"/>
          <w:szCs w:val="21"/>
        </w:rPr>
        <w:t xml:space="preserve">기존 장비·EDA 분류와 서버·스토리지 분류는 유지하되, 오늘의 방향을 오해하지 않도록 하위 묶음을 별도 계산했다. 아래는 1D 종목 동일가중 평균으로, 임의로 새 중장기 지수를 만든 것이 아니다.</w:t>
      </w:r>
    </w:p>
    <w:p>
      <w:pPr>
        <w:keepNext/>
        <w:spacing w:after="80" w:before="170"/>
      </w:pPr>
      <w:r>
        <w:rPr>
          <w:rFonts w:ascii="Malgun Gothic" w:cs="Malgun Gothic" w:eastAsia="Malgun Gothic" w:hAnsi="Malgun Gothic"/>
          <w:b/>
          <w:bCs/>
          <w:color w:val="17365D"/>
          <w:sz w:val="21"/>
          <w:szCs w:val="21"/>
        </w:rPr>
        <w:t xml:space="preserve">세부 묶음의 하루 차이</w:t>
      </w:r>
    </w:p>
    <w:tbl>
      <w:tblPr>
        <w:tblW w:type="dxa" w:w="10380"/>
        <w:tblBorders>
          <w:top w:val="single" w:color="DBE4ED" w:sz="4"/>
          <w:left w:val="none" w:sz="0"/>
          <w:bottom w:val="single" w:color="DBE4ED" w:sz="4"/>
          <w:right w:val="none" w:sz="0"/>
          <w:insideH w:val="single" w:color="DBE4ED" w:sz="3"/>
          <w:insideV w:val="none" w:sz="0"/>
        </w:tblBorders>
      </w:tblPr>
      <w:tblGrid>
        <w:gridCol w:w="2700"/>
        <w:gridCol w:w="5400"/>
        <w:gridCol w:w="2280"/>
      </w:tblGrid>
      <w:tr>
        <w:trPr>
          <w:cantSplit/>
          <w:tblHeader/>
        </w:trPr>
        <w:tc>
          <w:tcPr>
            <w:tcW w:type="dxa" w:w="27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하위 묶음</w:t>
            </w:r>
          </w:p>
        </w:tc>
        <w:tc>
          <w:tcPr>
            <w:tcW w:type="dxa" w:w="540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구성</w:t>
            </w:r>
          </w:p>
        </w:tc>
        <w:tc>
          <w:tcPr>
            <w:tcW w:type="dxa" w:w="228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동일가중</w:t>
            </w:r>
          </w:p>
        </w:tc>
      </w:tr>
      <w:tr>
        <w:trPr>
          <w:cantSplit/>
          <w:tblHeader w:val="false"/>
        </w:trPr>
        <w:tc>
          <w:tcPr>
            <w:tcW w:type="dxa" w:w="2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물리 반도체 장비·테스트</w:t>
            </w:r>
          </w:p>
        </w:tc>
        <w:tc>
          <w:tcPr>
            <w:tcW w:type="dxa" w:w="54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AMAT, LRCX, KLAC, TER</w:t>
            </w:r>
          </w:p>
        </w:tc>
        <w:tc>
          <w:tcPr>
            <w:tcW w:type="dxa" w:w="22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+5.55%</w:t>
            </w:r>
          </w:p>
        </w:tc>
      </w:tr>
      <w:tr>
        <w:trPr>
          <w:cantSplit/>
          <w:tblHeader w:val="false"/>
        </w:trPr>
        <w:tc>
          <w:tcPr>
            <w:tcW w:type="dxa" w:w="2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반도체 설계 소프트웨어·EDA</w:t>
            </w:r>
          </w:p>
        </w:tc>
        <w:tc>
          <w:tcPr>
            <w:tcW w:type="dxa" w:w="54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CDNS, SNPS</w:t>
            </w:r>
          </w:p>
        </w:tc>
        <w:tc>
          <w:tcPr>
            <w:tcW w:type="dxa" w:w="22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-4.70%</w:t>
            </w:r>
          </w:p>
        </w:tc>
      </w:tr>
      <w:tr>
        <w:trPr>
          <w:cantSplit/>
          <w:tblHeader w:val="false"/>
        </w:trPr>
        <w:tc>
          <w:tcPr>
            <w:tcW w:type="dxa" w:w="27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저장장치</w:t>
            </w:r>
          </w:p>
        </w:tc>
        <w:tc>
          <w:tcPr>
            <w:tcW w:type="dxa" w:w="540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SNDK, STX, WDC</w:t>
            </w:r>
          </w:p>
        </w:tc>
        <w:tc>
          <w:tcPr>
            <w:tcW w:type="dxa" w:w="228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+8.04%</w:t>
            </w:r>
          </w:p>
        </w:tc>
      </w:tr>
      <w:tr>
        <w:trPr>
          <w:cantSplit/>
          <w:tblHeader w:val="false"/>
        </w:trPr>
        <w:tc>
          <w:tcPr>
            <w:tcW w:type="dxa" w:w="27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서버·제조·기타 스토리지</w:t>
            </w:r>
          </w:p>
        </w:tc>
        <w:tc>
          <w:tcPr>
            <w:tcW w:type="dxa" w:w="540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DELL, HPE, SMCI, FLEX, JBL, NTAP</w:t>
            </w:r>
          </w:p>
        </w:tc>
        <w:tc>
          <w:tcPr>
            <w:tcW w:type="dxa" w:w="228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+0.78%</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전력 생산</w:t>
      </w:r>
    </w:p>
    <w:p>
      <w:pPr>
        <w:spacing w:after="150" w:line="310"/>
      </w:pPr>
      <w:r>
        <w:rPr>
          <w:rFonts w:ascii="Malgun Gothic" w:cs="Malgun Gothic" w:eastAsia="Malgun Gothic" w:hAnsi="Malgun Gothic"/>
          <w:sz w:val="21"/>
          <w:szCs w:val="21"/>
        </w:rPr>
        <w:t xml:space="preserve">발전·전력판매가 하루 +4.94%, 1주 +8.04%로 가장 강했다. NRG +6.42%, Constellation +4.88%, Vistra +3.52%로 세 종목 모두 상승했다. 단일 대형주 의존이 아닌 공통 움직임이다. 1개월도 +5.99%지만 3개월은 -0.15%로, 장기 상승 추세라기보다 최근 회복이 빠른 구간이다. 새로운 대규모 전력계약이 이날 일제히 발표됐다는 근거는 확보하지 못했다. 가격에서 확인되는 강세와 개별 계약 뉴스는 분리한다.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NRG · NRG Energy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부하 증가에 레버리지된 발전·소매전력 사업.</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+6.42%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+7.11%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-10.77%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+2.14</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CEG · Constellation Energy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하이퍼스케일 데이터센터용 원전·청정전력 장기계약의 직접 수혜.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+4.88%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+8.03%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+11.87%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+12.99%</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+1.63</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VST · Vistra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경쟁 발전과 데이터센터 전력계약에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+3.52%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+8.91%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+4.24%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-2.86%</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+1.17</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AI 연산·메모리</w:t>
      </w:r>
    </w:p>
    <w:p>
      <w:pPr>
        <w:spacing w:after="150" w:line="310"/>
      </w:pPr>
      <w:r>
        <w:rPr>
          <w:rFonts w:ascii="Malgun Gothic" w:cs="Malgun Gothic" w:eastAsia="Malgun Gothic" w:hAnsi="Malgun Gothic"/>
          <w:sz w:val="21"/>
          <w:szCs w:val="21"/>
        </w:rPr>
        <w:t xml:space="preserve">연산·메모리는 하루 +3.46%, 7개 모두 상승했다. Marvell +7.05%, Micron +6.10%, AMD +4.69%, Intel +4.51%가 Nvidia +0.84%, Broadcom +0.21%보다 강했다. 오늘의 강세는 Nvidia 단독 주도라기보다 주변 반도체로 퍼진 반등이다. 다만 바스켓 1개월 -1.39%, 3개월 -11.08%가 남아 있어, 하루 강세만으로 중기 추세 반전을 선언하기는 이르다.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MRVL · Marvell Technology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맞춤형 AI 실리콘, 전기광학과 데이터센터 네트워크 반도체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+7.05%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+3.20%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+2.27%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-29.35%</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+1.01</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MU · Micron Technology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HBM과 데이터센터 DRAM·NAND 수요에 직접 노출.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+6.10%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+8.98%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+13.88%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+2.07%</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+0.87</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AMD · Advanced Micro Devices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CPU와 AI 가속기 사업을 보유.</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+4.69%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+2.58%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-7.91%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-8.72%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INTC · Intel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CPU, 파운드리와 가속기 노출이 있으나 AI 이익 기여 집중도는 낮음.</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+4.51%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+7.07%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-5.02%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-14.30%</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+0.64</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MPWR · Monolithic Power Systems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고성능 컴퓨팅 시스템용 전력관리 반도체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-2.58%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-8.33%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-25.94%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NVDA · NVIDIA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가속기, 네트워크와 소프트웨어를 결합한 풀스택 플랫폼.</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+5.89%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+8.69%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+5.35%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+0.12</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AVGO · Broadcom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맞춤형 AI 가속기와 스위칭·연결 반도체에 동시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-14.41%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-14.57%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+0.03</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서버·스토리지</w:t>
      </w:r>
    </w:p>
    <w:p>
      <w:pPr>
        <w:spacing w:after="150" w:line="310"/>
      </w:pPr>
      <w:r>
        <w:rPr>
          <w:rFonts w:ascii="Malgun Gothic" w:cs="Malgun Gothic" w:eastAsia="Malgun Gothic" w:hAnsi="Malgun Gothic"/>
          <w:sz w:val="21"/>
          <w:szCs w:val="21"/>
        </w:rPr>
        <w:t xml:space="preserve">서버·스토리지는 +3.20%지만 내부 편차가 컸다. Sandisk +11.90%, Seagate +6.34%, Western Digital +5.86%가 주도했고 HPE는 -4.48%였다. 저장장치 3개와 서버 제조사를 같은 강도로 묶으면 잘못 읽게 된다. 9개 중 8개가 상승했으며 1주 +4.94%, 1개월 +2.28%다. Sandisk의 이 바스켓 내 하루 기여도는 약 +1.32%p로, 전체 +3.20% 중 상당 부분을 설명한다.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SNDK · Sandisk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 집약적 워크로드용 플래시 스토리지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+11.90%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+17.17%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+21.88%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+1.32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STX · Seagate Technology Holdings PL</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클라우드와 AI 데이터 파이프라인용 대용량 스토리지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+6.34%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+2.35%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+0.46%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-8.28%</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+0.70</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WDC · Western Digital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기업·클라우드 스토리지 수요에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+5.86%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-14.78%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-18.77%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+0.65</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SMCI · Super Micro Computer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고밀도 AI 서버와 랙스케일 통합의 직접 수혜.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+4.54%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+6.77%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+24.93%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-15.59%</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+0.50</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JBL · Jabil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클라우드 고객 대상 제조와 데이터센터 인프라 하드웨어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+3.03%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-8.66%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-16.92%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FLEX · Flex Ltd</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하드웨어 설계·위탁생산 노출.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-13.57%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-31.35%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+0.17</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DELL · Dell Technologies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기업용 AI 서버, 랙과 스토리지 시스템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+14.88%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+12.17%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+24.19%</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NTAP · NetApp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워크로드용 기업 스토리지와 데이터 관리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-2.56%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+3.76%</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+0.01</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HPE · Hewlett Packard Enterprise Co</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시스템과 Aruba 네트워크를 결합한 기업 인프라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-4.48%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-0.59%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-3.15%</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-0.50</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네트워크·광통신</w:t>
      </w:r>
    </w:p>
    <w:p>
      <w:pPr>
        <w:spacing w:after="150" w:line="310"/>
      </w:pPr>
      <w:r>
        <w:rPr>
          <w:rFonts w:ascii="Malgun Gothic" w:cs="Malgun Gothic" w:eastAsia="Malgun Gothic" w:hAnsi="Malgun Gothic"/>
          <w:sz w:val="21"/>
          <w:szCs w:val="21"/>
        </w:rPr>
        <w:t xml:space="preserve">네트워크·광통신은 +3.19%로 6개 유효 종목이 모두 올랐다. Coherent +6.60%, Corning +5.68%, Lumentum 약 +4.00%가 Arista +1.22%, Cisco +0.54%보다 강하다. 광통신 부품과 소재 쪽 반등이 더 컸다는 뜻이다. 그러나 1주 -2.33%, 1개월 -6.80%, 3개월 -16.73%여서 아직 가장 약한 중기 그룹 중 하나다. 최근 하루와 지난 3개월은 같은 방향이 아니다.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COHR · Coherent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고속 AI 인터커넥트용 광부품과 트랜시버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+6.60%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+0.95%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-12.93%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-33.19%</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+1.10</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GLW · Corning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증설에 필요한 광섬유와 연결 제품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+5.68%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+3.57%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-3.50%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-21.95%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+0.95</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LITE · Lumentum Holdings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클라우드·데이터센터 연결에 사용되는 광부품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+4.00%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+3.74%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-6.75%</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ANET · Arista Networks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패브릭용 고속 이더넷 스위칭의 직접 수혜.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-0.82%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+16.73%</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+0.20</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CIEN · Ciena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인터커넥트와 AI 트래픽 증가에 필요한 광네트워크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+1.12%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-15.18%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-21.92%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-40.07%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+0.19</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CSCO · Cisco Systems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데이터센터 패브릭용 네트워크·광학·보안 솔루션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-0.66%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-10.30%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-16.00%</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+0.09</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APH · Amphenol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시스템용 고속 커넥터와 케이블 공급. [가격 조정 불연속 후보: 수익률 제외]</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파운드리·반도체 장비·EDA</w:t>
      </w:r>
    </w:p>
    <w:p>
      <w:pPr>
        <w:spacing w:after="150" w:line="310"/>
      </w:pPr>
      <w:r>
        <w:rPr>
          <w:rFonts w:ascii="Malgun Gothic" w:cs="Malgun Gothic" w:eastAsia="Malgun Gothic" w:hAnsi="Malgun Gothic"/>
          <w:sz w:val="21"/>
          <w:szCs w:val="21"/>
        </w:rPr>
        <w:t xml:space="preserve">반도체 장비·EDA 평균 +2.14%는 특히 분해해서 봐야 한다. KLA +7.32%, Teradyne +5.45%, Lam +5.12%, Applied Materials +4.31%는 모두 강했다. 반면 Synopsys -5.40%, Cadence -3.99%는 하락했다. 물리 장비 4개 평균과 설계 소프트웨어 2개 평균을 별도 표로 제시했다. 기존 분류 체계는 유지하되, 장비와 EDA가 오늘 반대 방향이었다는 정보를 평균 속에 묻지 않았다.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KLAC · KLA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반도체 복잡도 상승에 필요한 공정제어·검사 장비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+7.32%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+5.73%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-5.04%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-12.91%</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TER · Teradyne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가속기와 첨단 반도체용 테스트 장비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+5.45%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-11.53%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-12.25%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+0.91</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LRCX · Lam Research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선단 로직·메모리와 HBM 증설에 필요한 식각·증착 장비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+5.12%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-3.18%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-8.55%</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+0.85</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AMAT · Applied Materials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폭넓은 웨이퍼 장비와 첨단패키징 노출.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+4.31%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-16.81%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-9.37%</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+0.72</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CDNS · Cadence Design Systems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첨단 AI 반도체 설계를 위한 EDA와 시스템 설계 소프트웨어 제공.</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-3.99%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-14.01%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-14.07%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-28.90%</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-0.67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SNPS · Synopsys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실리콘 설계에 사용되는 EDA와 반도체 IP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-5.40%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-11.02%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-2.48%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-20.35%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-0.90</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전력·냉각 장비</w:t>
      </w:r>
    </w:p>
    <w:p>
      <w:pPr>
        <w:spacing w:after="150" w:line="310"/>
      </w:pPr>
      <w:r>
        <w:rPr>
          <w:rFonts w:ascii="Malgun Gothic" w:cs="Malgun Gothic" w:eastAsia="Malgun Gothic" w:hAnsi="Malgun Gothic"/>
          <w:sz w:val="21"/>
          <w:szCs w:val="21"/>
        </w:rPr>
        <w:t xml:space="preserve">전력기기·냉각은 +1.65%, 7개 모두 상승했다. Vertiv +4.35%, Eaton +3.46%가 가장 강했고 GE Vernova는 +0.01%로 사실상 보합이었다. 데이터센터 전력·열관리의 회복이 발전주 강세와 함께 나타났지만, 전력기기 바스켓 1개월 -5.57%, 3개월 -4.94%는 아직 부진하다. 냉각·전력관리와 발전사업의 상대강도를 구분할 필요가 있다.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VRT · Vertiv Holdings Co</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고밀도 AI 데이터센터의 전력·열관리·액체냉각 인프라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+4.35%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+9.12%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+3.93%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-13.40%</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ETN · Eaton Corp PLC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부하 증가에 필요한 배전·스위치기어·전력품질 장비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+3.46%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+2.00%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-7.63%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-1.85%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+0.49</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JCI · Johnson Controls International</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빌딩제어와 냉각 인프라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+3.83%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-5.65%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-1.67%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CARR · Carrier Global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증설에 필요한 HVAC와 열관리 노출.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-9.10%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-12.88%</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+0.15</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TT · Trane Technologies PLC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고효율 냉각·열관리 시스템에 노출되지만 AI 순수도는 낮음.</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-0.24%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-5.15%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-3.42%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+0.09</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HUBB · Hubbell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전력망 보강용 유틸리티·전기 부품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-8.27%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-5.06%</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+0.02</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GEV · GE Vernova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전력망 장비와 발전설비를 통해 데이터센터 전력수요에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+3.29%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-7.52%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-2.22%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+0.00</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E&amp;C·설계·전기공사</w:t>
      </w:r>
    </w:p>
    <w:p>
      <w:pPr>
        <w:spacing w:after="150" w:line="310"/>
      </w:pPr>
      <w:r>
        <w:rPr>
          <w:rFonts w:ascii="Malgun Gothic" w:cs="Malgun Gothic" w:eastAsia="Malgun Gothic" w:hAnsi="Malgun Gothic"/>
          <w:sz w:val="21"/>
          <w:szCs w:val="21"/>
        </w:rPr>
        <w:t xml:space="preserve">데이터센터 시공·엔지니어링은 +1.45%다. Comfort Systems +1.91%, EMCOR +1.73%, Quanta +0.70%가 모두 올랐고 1주 +3.84%다. 반면 1개월 -9.02%, 3개월 -13.06%로 낙폭 회복에 해당하는 모습이다. 향후에는 신규 수주와 백로그가 실제 이익 추정치 상향으로 이어지는지를 별도로 확인해야 한다. 이번 가격 표만으로 수주 개선을 확정하지 않는다.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FIX · Comfort Systems USA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냉각 프로젝트를 포함한 기계·전기 공사 수행.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+6.03%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-9.32%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-15.89%</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+0.64</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EME · EMCOR Group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 프로젝트에 필요한 전기·기계 시공 노출.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+1.73%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-8.02%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-10.80%</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+0.58</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PWR · Quanta Services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신규 발전과 데이터센터를 연결하는 전력망·전기 인프라 시공.</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+0.70%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+3.60%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-9.90%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-13.18%</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+0.23</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데이터센터 REIT·운영사</w:t>
      </w:r>
    </w:p>
    <w:p>
      <w:pPr>
        <w:spacing w:after="150" w:line="310"/>
      </w:pPr>
      <w:r>
        <w:rPr>
          <w:rFonts w:ascii="Malgun Gothic" w:cs="Malgun Gothic" w:eastAsia="Malgun Gothic" w:hAnsi="Malgun Gothic"/>
          <w:sz w:val="21"/>
          <w:szCs w:val="21"/>
        </w:rPr>
        <w:t xml:space="preserve">데이터센터 REIT는 +0.50%로 하드웨어·발전보다 약했다. Iron Mountain +1.64%, Digital Realty +0.32%, Equinix -0.47%로 갈렸다. 전력 공급망이 오른 날에도 데이터센터 임대·운영 자산이 같은 폭으로 오르지는 않았다. 1개월 -3.70%, 3개월 -4.99%여서 물리 AI 인프라라는 공통 주제만으로 발전·냉각·리츠를 동일 취급하기 어렵다.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IRM · Iron Mountain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데이터센터를 운영하지만 기록관리 사업 비중이 더 커 순수도는 낮음.</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-0.46%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-6.89%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-10.28%</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+0.55</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DLR · Digital Realty Trust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글로벌 데이터센터 REIT와 코로케이션 플랫폼.</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+0.32%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-2.84%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-0.16%</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+0.11</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EQIX · Equinix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상호접속 중심의 글로벌 데이터센터 운영 플랫폼.</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-0.47%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-0.81%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-4.88%</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-0.16</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하이퍼스케일러·플랫폼</w:t>
      </w:r>
    </w:p>
    <w:p>
      <w:pPr>
        <w:spacing w:after="150" w:line="310"/>
      </w:pPr>
      <w:r>
        <w:rPr>
          <w:rFonts w:ascii="Malgun Gothic" w:cs="Malgun Gothic" w:eastAsia="Malgun Gothic" w:hAnsi="Malgun Gothic"/>
          <w:sz w:val="21"/>
          <w:szCs w:val="21"/>
        </w:rPr>
        <w:t xml:space="preserve">하이퍼스케일러·플랫폼은 +0.13%에 그쳤다. Oracle +3.08%, Meta +1.00%와 Microsoft -2.04%, Alphabet -1.17%, Amazon -0.15%가 상쇄됐다. AI 인프라 공급업체가 오른 것이 곧 대형 플랫폼의 동반 강세는 아니었다. 6개 중 3개 상승, 1주 +0.59%, 1개월 -0.30%로 방향성이 약하다. IBM을 포함한 기존 확장 분류를 그대로 사용했다.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ORCL · Oracle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OCI의 대형 AI 학습 클러스터와 데이터베이스 고객 기반을 보유.</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+3.08%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+5.26%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+8.95%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-32.82%</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+0.51</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META · Meta Platforms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대규모 AI 인프라, 오픈모델과 광고·추천 수익화를 결합.</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+6.70%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+4.90%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-1.72%</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+0.17</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IBM · International Business Machine</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하이브리드 클라우드, watsonx와 AI 컨설팅 노출은 있으나 순수도는 낮음.</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-22.16%</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+0.01</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AMZN · Amazon.com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AWS AI 인프라, Trainium·Inferentia와 모델 서비스를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-6.82%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+1.86%</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-0.03</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GOOGL · Alphabet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Google Cloud, Gemini와 TPU를 보유하며 GOOG는 이중가중 방지를 위해 제외.</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-2.35%</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-10.38%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-9.06%</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-0.20</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MSFT · Microsoft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Azure AI 인프라, 모델, Copilot과 기업 고객 유통망을 동시에 보유.</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-2.04%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-2.69%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+1.40%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+16.74%</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-0.34</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사이버보안</w:t>
      </w:r>
    </w:p>
    <w:p>
      <w:pPr>
        <w:spacing w:after="150" w:line="310"/>
      </w:pPr>
      <w:r>
        <w:rPr>
          <w:rFonts w:ascii="Malgun Gothic" w:cs="Malgun Gothic" w:eastAsia="Malgun Gothic" w:hAnsi="Malgun Gothic"/>
          <w:sz w:val="21"/>
          <w:szCs w:val="21"/>
        </w:rPr>
        <w:t xml:space="preserve">사이버보안은 -0.78%다. Palo Alto +0.40%를 제외하면 CrowdStrike -0.87%, Akamai -1.20%, Gen Digital -2.17%, Fortinet 약 -0.04%로 약했다. 1주 -4.31%이고 그 기간에는 5개 모두 하락했다. 응용 소프트웨어뿐 아니라 보안에도 단기 약세가 퍼져 있다는 신호지만, 사이버보안 지출 자체가 감소했다는 결론은 가격만으로 낼 수 없다.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PANW · Palo Alto Networks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기반 사이버보안 플랫폼과 AI 워크로드 보호 솔루션 제공.</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+0.40%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-10.32%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-9.03%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+19.34%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FTNT · Fortinet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네트워크·클라우드 보안과 AI 기반 위협탐지 플랫폼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-5.85%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-7.13%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+4.42%</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-0.01</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CRWD · Crowdstrike Holdings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기반 엔드포인트·클라우드 보안 플랫폼.</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-0.87%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-2.43%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+18.54%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-0.17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AKAM · Akamai Technologies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클라우드 보안과 엣지 네트워크에 노출되지만 AI 순수도는 낮음.</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-2.09%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-14.70%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-33.82%</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-0.24</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GEN · Gen Digital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소비자 사이버보안 사업으로 AI 보안 수요에 간접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-2.17%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-1.19%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+8.42%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+15.57%</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-0.43</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엣지·Physical AI</w:t>
      </w:r>
    </w:p>
    <w:p>
      <w:pPr>
        <w:spacing w:after="150" w:line="310"/>
      </w:pPr>
      <w:r>
        <w:rPr>
          <w:rFonts w:ascii="Malgun Gothic" w:cs="Malgun Gothic" w:eastAsia="Malgun Gothic" w:hAnsi="Malgun Gothic"/>
          <w:sz w:val="21"/>
          <w:szCs w:val="21"/>
        </w:rPr>
        <w:t xml:space="preserve">엣지·피지컬 AI는 -0.92%다. Tesla -5.92%, Axon -4.18%, Apple -2.51%가 아날로그·차량용 반도체와 자동화 종목의 소폭 상승을 압도했다. 8개 중 5개는 상승해 평균 수익률과 상승 종목 비율이 다른 방향이다. 이 그룹은 로봇·스마트폰·차량·산업자동화가 섞인 인접 노출이므로 순수 AI 하드웨어의 지표로 읽지 않는다.</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ADI · Analog Devices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엣지 지능을 위한 산업용 센싱과 신호처리 반도체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+1.61%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-4.74%</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-15.51%</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+0.20</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ROK · Rockwell Automation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Physical AI를 가능하게 하는 산업 자동화·제어 시스템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+0.68%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-2.56%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-6.15%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+0.16</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NXPI · NXP Semiconductors NV</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자동차·산업용 엣지 프로세서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-4.11%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-29.29%</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+0.16</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ON · ON Semiconductor Corp</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자동차·산업용 센싱과 전력반도체 공급.</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+0.99%</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+2.44%</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-7.92%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-43.57%</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+0.12</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QCOM · QUALCOMM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온디바이스 AI 가속기와 엣지 연결 반도체 공급.</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+0.10%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+2.77%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+3.73%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-30.44%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+0.01</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AAPL · Apple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대규모 설치기반의 온디바이스 AI 노출은 있으나 기기 사이클 의존도가 높음.</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-2.51%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+0.08%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+3.42%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+2.81%</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-0.31</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AXON · Axon Enterprise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기반 공공안전 장비와 증거·업무 소프트웨어 제공.</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-4.18%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-14.16%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-15.07%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+0.48%</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-0.52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TSLA · Tesla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자율주행, 추론 하드웨어와 로봇·Physical AI 개발.</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-5.92%</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+1.53%</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+8.17%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-15.38%</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-0.74</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AI 소프트웨어·데이터</w:t>
      </w:r>
    </w:p>
    <w:p>
      <w:pPr>
        <w:spacing w:after="150" w:line="310"/>
      </w:pPr>
      <w:r>
        <w:rPr>
          <w:rFonts w:ascii="Malgun Gothic" w:cs="Malgun Gothic" w:eastAsia="Malgun Gothic" w:hAnsi="Malgun Gothic"/>
          <w:sz w:val="21"/>
          <w:szCs w:val="21"/>
        </w:rPr>
        <w:t xml:space="preserve">AI 소프트웨어·서비스는 -2.98%로 12개 단계 중 최하위다. Adobe -6.73%, Workday -5.38%, Palantir -4.49%, Intuit -3.37%, Accenture -3.31%가 하락했고 AppLovin +2.23%만 상승했다. 1주 -4.20%지만 1개월 +4.17%, 3개월 +7.90%다. 지난 3개월의 상대적 우위와 최근 단기 약세가 공존한다. Adobe CEO 승계 발표는 확인된 사건이지만, 이 그룹 전체 약세를 설명하는 단일 원인으로 확대하지 않는다.</w:t>
      </w:r>
    </w:p>
    <w:p>
      <w:pPr>
        <w:spacing w:after="120"/>
      </w:pPr>
      <w:hyperlink w:history="1" r:id="rIdabkzmc2vjufga-rulli8-">
        <w:r>
          <w:rPr>
            <w:rFonts w:ascii="Malgun Gothic" w:cs="Malgun Gothic" w:eastAsia="Malgun Gothic" w:hAnsi="Malgun Gothic"/>
            <w:color w:val="28699C"/>
            <w:sz w:val="16"/>
            <w:szCs w:val="16"/>
            <w:u w:val="single"/>
          </w:rPr>
          <w:t xml:space="preserve">Adobe · 9월 4일 CEO 승계 공지(일본어판)</w:t>
        </w:r>
      </w:hyperlink>
      <w:r>
        <w:rPr>
          <w:rFonts w:ascii="Malgun Gothic" w:cs="Malgun Gothic" w:eastAsia="Malgun Gothic" w:hAnsi="Malgun Gothic"/>
          <w:sz w:val="16"/>
          <w:szCs w:val="16"/>
        </w:rPr>
        <w:t xml:space="preserve">  </w:t>
      </w:r>
    </w:p>
    <w:p>
      <w:pPr>
        <w:keepNext/>
        <w:spacing w:after="80" w:before="170"/>
      </w:pPr>
      <w:r>
        <w:rPr>
          <w:rFonts w:ascii="Malgun Gothic" w:cs="Malgun Gothic" w:eastAsia="Malgun Gothic" w:hAnsi="Malgun Gothic"/>
          <w:b/>
          <w:bCs/>
          <w:color w:val="17365D"/>
          <w:sz w:val="21"/>
          <w:szCs w:val="21"/>
        </w:rPr>
        <w:t xml:space="preserve">전체 종목과 AI 역할</w:t>
      </w:r>
    </w:p>
    <w:tbl>
      <w:tblPr>
        <w:tblW w:type="dxa" w:w="10380"/>
        <w:tblBorders>
          <w:top w:val="single" w:color="DBE4ED" w:sz="4"/>
          <w:left w:val="none" w:sz="0"/>
          <w:bottom w:val="single" w:color="DBE4ED" w:sz="4"/>
          <w:right w:val="none" w:sz="0"/>
          <w:insideH w:val="single" w:color="DBE4ED" w:sz="3"/>
          <w:insideV w:val="none" w:sz="0"/>
        </w:tblBorders>
      </w:tblPr>
      <w:tblGrid>
        <w:gridCol w:w="1850"/>
        <w:gridCol w:w="3530"/>
        <w:gridCol w:w="820"/>
        <w:gridCol w:w="820"/>
        <w:gridCol w:w="820"/>
        <w:gridCol w:w="820"/>
        <w:gridCol w:w="1720"/>
      </w:tblGrid>
      <w:tr>
        <w:trPr>
          <w:cantSplit/>
          <w:tblHeader/>
        </w:trPr>
        <w:tc>
          <w:tcPr>
            <w:tcW w:type="dxa" w:w="185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종목</w:t>
            </w:r>
          </w:p>
        </w:tc>
        <w:tc>
          <w:tcPr>
            <w:tcW w:type="dxa" w:w="353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밸류체인 역할</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1주</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1개월</w:t>
            </w:r>
          </w:p>
        </w:tc>
        <w:tc>
          <w:tcPr>
            <w:tcW w:type="dxa" w:w="8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3개월</w:t>
            </w:r>
          </w:p>
        </w:tc>
        <w:tc>
          <w:tcPr>
            <w:tcW w:type="dxa" w:w="1720"/>
            <w:shd w:fill="17365D" w:val="clear"/>
            <w:tcMar>
              <w:top w:type="dxa" w:w="80"/>
              <w:left w:type="dxa" w:w="80"/>
              <w:bottom w:type="dxa" w:w="80"/>
              <w:right w:type="dxa" w:w="80"/>
            </w:tcMar>
          </w:tcPr>
          <w:p>
            <w:pPr>
              <w:spacing w:after="0" w:line="255"/>
            </w:pPr>
            <w:r>
              <w:rPr>
                <w:rFonts w:ascii="Malgun Gothic" w:cs="Malgun Gothic" w:eastAsia="Malgun Gothic" w:hAnsi="Malgun Gothic"/>
                <w:b/>
                <w:bCs/>
                <w:color w:val="FFFFFF"/>
                <w:sz w:val="18"/>
                <w:szCs w:val="18"/>
              </w:rPr>
              <w:t xml:space="preserve">1D 기여 %p</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APP · AppLovin Corp</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AI 기반 광고 최적화와 소프트웨어 플랫폼 운영.</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+2.23%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+0.88%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-23.62%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-42.64%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+0.25</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DDOG · Datadog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복잡한 클라우드·AI 애플리케이션 스택의 관측성 제공.</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-0.85%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-10.15%</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-26.10%</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-12.59%</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-0.09</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CRM · Salesforce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에이전틱 AI와 기업 고객데이터 유통망을 결합.</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-1.97%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+1.26%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+35.73%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+37.34%</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-0.22</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NOW · ServiceNow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기업 워크플로 자동화와 생성형 AI 제품을 수익화.</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-2.97%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-2.38%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+19.57%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+18.35%</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-0.33</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ACN · Accenture PLC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고객사의 AI 구축·컨설팅 지출에 간접 노출.</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-3.31%</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-1.52%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+9.56%</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+4.39%</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-0.37</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INTU · Intuit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금융·세무 워크플로에 AI 어시스턴트를 내장.</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-3.37%</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-7.08%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+2.81%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+10.17%</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-0.37</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PLTR · Palantir Technologies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민간·정부 워크플로에 AI 플랫폼과 애플리케이션을 배포.</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-4.49%</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-6.42%</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+7.17%</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+23.03%</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-0.50</w:t>
            </w:r>
          </w:p>
        </w:tc>
      </w:tr>
      <w:tr>
        <w:trPr>
          <w:cantSplit/>
          <w:tblHeader w:val="false"/>
        </w:trPr>
        <w:tc>
          <w:tcPr>
            <w:tcW w:type="dxa" w:w="185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WDAY · Workday Inc</w:t>
            </w:r>
          </w:p>
        </w:tc>
        <w:tc>
          <w:tcPr>
            <w:tcW w:type="dxa" w:w="353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인사·재무 워크플로에 AI 기능을 내장.</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-5.38%</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-4.36%</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+14.31%</w:t>
            </w:r>
          </w:p>
        </w:tc>
        <w:tc>
          <w:tcPr>
            <w:tcW w:type="dxa" w:w="8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+32.37%</w:t>
            </w:r>
          </w:p>
        </w:tc>
        <w:tc>
          <w:tcPr>
            <w:tcW w:type="dxa" w:w="1720"/>
            <w:shd w:fill="F0F4F8"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-0.60</w:t>
            </w:r>
          </w:p>
        </w:tc>
      </w:tr>
      <w:tr>
        <w:trPr>
          <w:cantSplit/>
          <w:tblHeader w:val="false"/>
        </w:trPr>
        <w:tc>
          <w:tcPr>
            <w:tcW w:type="dxa" w:w="185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ADBE · Adobe Inc</w:t>
            </w:r>
          </w:p>
        </w:tc>
        <w:tc>
          <w:tcPr>
            <w:tcW w:type="dxa" w:w="353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20334A"/>
                <w:sz w:val="18"/>
                <w:szCs w:val="18"/>
              </w:rPr>
              <w:t xml:space="preserve">생성형 창작도구와 문서 AI를 수익화.</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-6.73%</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-8.58%</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+3.50%</w:t>
            </w:r>
          </w:p>
        </w:tc>
        <w:tc>
          <w:tcPr>
            <w:tcW w:type="dxa" w:w="8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087664"/>
                <w:sz w:val="18"/>
                <w:szCs w:val="18"/>
              </w:rPr>
              <w:t xml:space="preserve">+3.13%</w:t>
            </w:r>
          </w:p>
        </w:tc>
        <w:tc>
          <w:tcPr>
            <w:tcW w:type="dxa" w:w="1720"/>
            <w:shd w:fill="FFFFFF" w:val="clear"/>
            <w:tcMar>
              <w:top w:type="dxa" w:w="80"/>
              <w:left w:type="dxa" w:w="80"/>
              <w:bottom w:type="dxa" w:w="80"/>
              <w:right w:type="dxa" w:w="80"/>
            </w:tcMar>
          </w:tcPr>
          <w:p>
            <w:pPr>
              <w:spacing w:after="0" w:line="255"/>
            </w:pPr>
            <w:r>
              <w:rPr>
                <w:rFonts w:ascii="Malgun Gothic" w:cs="Malgun Gothic" w:eastAsia="Malgun Gothic" w:hAnsi="Malgun Gothic"/>
                <w:b w:val="false"/>
                <w:bCs w:val="false"/>
                <w:color w:val="B43148"/>
                <w:sz w:val="18"/>
                <w:szCs w:val="18"/>
              </w:rPr>
              <w:t xml:space="preserve">-0.75</w:t>
            </w:r>
          </w:p>
        </w:tc>
      </w:tr>
    </w:tbl>
    <w:p>
      <w:pPr>
        <w:spacing w:after="60"/>
      </w:pPr>
      <w:r>
        <w:rPr>
          <w:rFonts w:ascii="Malgun Gothic" w:cs="Malgun Gothic" w:eastAsia="Malgun Gothic" w:hAnsi="Malgun Gothic"/>
          <w:sz w:val="21"/>
          <w:szCs w:val="21"/>
        </w:rPr>
        <w:t xml:space="preserve"/>
      </w:r>
    </w:p>
    <w:p>
      <w:pPr>
        <w:pStyle w:val="Heading1"/>
        <w:keepNext/>
        <w:spacing w:after="150" w:before="320"/>
      </w:pPr>
      <w:r>
        <w:rPr>
          <w:rFonts w:ascii="Malgun Gothic" w:cs="Malgun Gothic" w:eastAsia="Malgun Gothic" w:hAnsi="Malgun Gothic"/>
          <w:b/>
          <w:bCs/>
          <w:color w:val="17365D"/>
          <w:sz w:val="28"/>
          <w:szCs w:val="28"/>
        </w:rPr>
        <w:t xml:space="preserve">미국 밖에서 확인되는 교차 신호</w:t>
      </w:r>
    </w:p>
    <w:p>
      <w:pPr>
        <w:spacing w:after="150" w:line="310"/>
      </w:pPr>
      <w:r>
        <w:rPr>
          <w:rFonts w:ascii="Malgun Gothic" w:cs="Malgun Gothic" w:eastAsia="Malgun Gothic" w:hAnsi="Malgun Gothic"/>
          <w:sz w:val="21"/>
          <w:szCs w:val="21"/>
        </w:rPr>
        <w:t xml:space="preserve">중국 CSI 300에서 IEIT -9.99%, Envicool -6.69%, Ruijie -6.33%가 하락한 반면, 유럽 STOXX 600의 AT&amp;S +11.16%, ASM +6.20%, Soitec +3.89%는 상승했다. 미국 AI 공급망 반등을 중국 AI 공급망의 강세로 자동 연결할 수 없는 날이다. 이 종목들은 비교 사례이며 미국 바스켓 수익률에는 넣지 않았다.</w:t>
      </w:r>
    </w:p>
    <w:p>
      <w:pPr>
        <w:spacing w:after="150" w:line="310"/>
      </w:pPr>
      <w:r>
        <w:rPr>
          <w:rFonts w:ascii="Malgun Gothic" w:cs="Malgun Gothic" w:eastAsia="Malgun Gothic" w:hAnsi="Malgun Gothic"/>
          <w:sz w:val="21"/>
          <w:szCs w:val="21"/>
        </w:rPr>
        <w:t xml:space="preserve">유럽 Soitec의 경우 Photonics-SOI 수요를 반영한 회사 매출 가이던스 상향이 확인된다. 미국 바스켓의 모든 하드웨어 상승에도 동일한 실적 상향 근거가 있는 것은 아니다. 국가별 수익률과 회사별 실적 촉매를 각각 확인하는 방식이 필요하다.</w:t>
      </w:r>
    </w:p>
    <w:p>
      <w:pPr>
        <w:spacing w:after="120"/>
      </w:pPr>
      <w:hyperlink w:history="1" r:id="rId64-uqy-oulaoacxwo4_8k">
        <w:r>
          <w:rPr>
            <w:rFonts w:ascii="Malgun Gothic" w:cs="Malgun Gothic" w:eastAsia="Malgun Gothic" w:hAnsi="Malgun Gothic"/>
            <w:color w:val="28699C"/>
            <w:sz w:val="16"/>
            <w:szCs w:val="16"/>
            <w:u w:val="single"/>
          </w:rPr>
          <w:t xml:space="preserve">Soitec · 9월 2일 Trading Update / 회사 배포문</w:t>
        </w:r>
      </w:hyperlink>
      <w:r>
        <w:rPr>
          <w:rFonts w:ascii="Malgun Gothic" w:cs="Malgun Gothic" w:eastAsia="Malgun Gothic" w:hAnsi="Malgun Gothic"/>
          <w:sz w:val="16"/>
          <w:szCs w:val="16"/>
        </w:rPr>
        <w:t xml:space="preserve">  </w:t>
      </w:r>
    </w:p>
    <w:p>
      <w:pPr>
        <w:pStyle w:val="Heading1"/>
        <w:keepNext/>
        <w:spacing w:after="150" w:before="320"/>
      </w:pPr>
      <w:r>
        <w:rPr>
          <w:rFonts w:ascii="Malgun Gothic" w:cs="Malgun Gothic" w:eastAsia="Malgun Gothic" w:hAnsi="Malgun Gothic"/>
          <w:b/>
          <w:bCs/>
          <w:color w:val="17365D"/>
          <w:sz w:val="28"/>
          <w:szCs w:val="28"/>
        </w:rPr>
        <w:t xml:space="preserve">관찰 포인트</w:t>
      </w:r>
    </w:p>
    <w:p>
      <w:pPr>
        <w:spacing w:after="150" w:line="310"/>
      </w:pPr>
      <w:r>
        <w:rPr>
          <w:rFonts w:ascii="Malgun Gothic" w:cs="Malgun Gothic" w:eastAsia="Malgun Gothic" w:hAnsi="Malgun Gothic"/>
          <w:sz w:val="21"/>
          <w:szCs w:val="21"/>
        </w:rPr>
        <w:t xml:space="preserve">다음 갱신에서는 발전·전력의 1주 강세가 지속되는지, 연산·메모리와 네트워크가 1개월 마이너스를 줄이는지, 소프트웨어의 3개월 상대 우위가 단기 약세로 훼손되는지를 우선 본다. 특히 EDA와 물리 장비를 따로 확인한다. 이 보고서의 가격 반등은 EPS 추정치 상향이나 주문 증가를 직접 측정한 결과가 아니다.</w:t>
      </w:r>
    </w:p>
    <w:p>
      <w:pPr>
        <w:pStyle w:val="Heading1"/>
        <w:keepNext/>
        <w:spacing w:after="150" w:before="320"/>
      </w:pPr>
      <w:r>
        <w:rPr>
          <w:rFonts w:ascii="Malgun Gothic" w:cs="Malgun Gothic" w:eastAsia="Malgun Gothic" w:hAnsi="Malgun Gothic"/>
          <w:b/>
          <w:bCs/>
          <w:color w:val="17365D"/>
          <w:sz w:val="28"/>
          <w:szCs w:val="28"/>
        </w:rPr>
        <w:t xml:space="preserve">계산·데이터 확인</w:t>
      </w:r>
    </w:p>
    <w:p>
      <w:pPr>
        <w:spacing w:after="150" w:line="310"/>
      </w:pPr>
      <w:r>
        <w:rPr>
          <w:rFonts w:ascii="Malgun Gothic" w:cs="Malgun Gothic" w:eastAsia="Malgun Gothic" w:hAnsi="Malgun Gothic"/>
          <w:sz w:val="21"/>
          <w:szCs w:val="21"/>
        </w:rPr>
        <w:t xml:space="preserve">작성일은 2026-09-07, 가격 기준일은 2026-09-04다. 신규 파일의 9월 5~7일 가격은 해당 4개 분석 지수에서 전 행 대비 변화가 없어 신규 거래일로 취급하지 않았다. 1D=9/3→9/4, 10거래일=8/21→9/4, AI 1주=8/28→9/4, 1개월=8/4→9/4, 3개월=6/4→9/4. 연율화하지 않았다.</w:t>
      </w:r>
    </w:p>
    <w:p>
      <w:pPr>
        <w:spacing w:after="150" w:line="310"/>
      </w:pPr>
      <w:r>
        <w:rPr>
          <w:rFonts w:ascii="Malgun Gothic" w:cs="Malgun Gothic" w:eastAsia="Malgun Gothic" w:hAnsi="Malgun Gothic"/>
          <w:sz w:val="21"/>
          <w:szCs w:val="21"/>
        </w:rPr>
        <w:t xml:space="preserve">종목 수익률은 제공 가격의 기말/기초−1이며 배당을 별도로 더하지 않았다. 종목 비교는 현지통화 기준이다. 현재 제공 구성종목을 과거에도 적용하므로 공식 과거 구성종목 지수나 편입·편출을 반영한 백테스트가 아니다.</w:t>
      </w:r>
    </w:p>
    <w:p>
      <w:pPr>
        <w:spacing w:after="150" w:line="310"/>
      </w:pPr>
      <w:r>
        <w:rPr>
          <w:rFonts w:ascii="Malgun Gothic" w:cs="Malgun Gothic" w:eastAsia="Malgun Gothic" w:hAnsi="Malgun Gothic"/>
          <w:sz w:val="21"/>
          <w:szCs w:val="21"/>
        </w:rPr>
        <w:t xml:space="preserve">시장·섹터의 시총가중 수익률은 전일 전체 시총을 가중치로 계산한 참고치다. 유동주식 비율, 상한, 공식 지수 제수와 환산통화를 반영하지 않아 공식 지수 수익률과 다르다. 특히 STOXX 600의 시총 원천 통화가 혼합돼 있어 섹터 가중 결과는 근사치다. 보고서의 공식 지수 종가는 기사와 분리해 표시했다.</w:t>
      </w:r>
    </w:p>
    <w:p>
      <w:pPr>
        <w:spacing w:after="150" w:line="310"/>
      </w:pPr>
      <w:r>
        <w:rPr>
          <w:rFonts w:ascii="Malgun Gothic" w:cs="Malgun Gothic" w:eastAsia="Malgun Gothic" w:hAnsi="Malgun Gothic"/>
          <w:sz w:val="21"/>
          <w:szCs w:val="21"/>
        </w:rPr>
        <w:t xml:space="preserve">AI는 기존 S&amp;P 500 확장 분류(Core + Adjacent) 73개를 유지했다. APH는 3개월 구간의 가격 조정 불연속 후보로 수익률 산출에서 제외해 유효 72개, 12개 단계다. 분류 자체에는 APH의 역할을 남겼다. 외부 비상장기업·비구성종목을 임의로 추가하지 않았다.</w:t>
      </w:r>
    </w:p>
    <w:p>
      <w:pPr>
        <w:spacing w:after="150" w:line="310"/>
      </w:pPr>
      <w:r>
        <w:rPr>
          <w:rFonts w:ascii="Malgun Gothic" w:cs="Malgun Gothic" w:eastAsia="Malgun Gothic" w:hAnsi="Malgun Gothic"/>
          <w:sz w:val="21"/>
          <w:szCs w:val="21"/>
        </w:rPr>
        <w:t xml:space="preserve">AI 단계 수익률은 종목의 일일 단순수익률을 동일가중한 뒤 일별 복리 누적했다. 주가 절대값의 평균이 아니다. 표의 1D 기여도는 종목 1D 수익률/그 단계 유효 종목 수이며 합계가 단계 1D 수익률과 일치한다. 여러 기간의 종목 수익률을 단순 평균한 값은 일일 재조정 바스켓 누적수익률과 같지 않으므로 다기간 기여도로 표시하지 않았다.</w:t>
      </w:r>
    </w:p>
    <w:p>
      <w:pPr>
        <w:spacing w:after="150" w:line="310"/>
      </w:pPr>
      <w:r>
        <w:rPr>
          <w:rFonts w:ascii="Malgun Gothic" w:cs="Malgun Gothic" w:eastAsia="Malgun Gothic" w:hAnsi="Malgun Gothic"/>
          <w:sz w:val="21"/>
          <w:szCs w:val="21"/>
        </w:rPr>
        <w:t xml:space="preserve">상승 비율은 가격 상승 종목 수/해당 기간 유효 종목 수다. EPS revision breadth나 애널리스트 추정치 상향 비율이 아니다. 이번 보고서는 주가 로테이션 보고서이며 가격 움직임을 이익 추정치 상향으로 바꾸어 서술하지 않았다.</w:t>
      </w:r>
    </w:p>
    <w:p>
      <w:pPr>
        <w:spacing w:after="150" w:line="310"/>
      </w:pPr>
      <w:r>
        <w:rPr>
          <w:rFonts w:ascii="Malgun Gothic" w:cs="Malgun Gothic" w:eastAsia="Malgun Gothic" w:hAnsi="Malgun Gothic"/>
          <w:sz w:val="21"/>
          <w:szCs w:val="21"/>
        </w:rPr>
        <w:t xml:space="preserve">Top/Bottom 100은 시장마다 각 100개다. 1D 순위를 기본으로 하고 10거래일 순위를 별도로 제공한다. 미수익률을 0으로 채우지 않았다. S&amp;P 500 503개, CSI 300 300개, STOXX 600 600개 모두 1D·10D 계산에 필요한 가격이 있다.</w:t>
      </w:r>
    </w:p>
    <w:p>
      <w:pPr>
        <w:spacing w:after="150" w:line="310"/>
      </w:pPr>
      <w:r>
        <w:rPr>
          <w:rFonts w:ascii="Malgun Gothic" w:cs="Malgun Gothic" w:eastAsia="Malgun Gothic" w:hAnsi="Malgun Gothic"/>
          <w:sz w:val="21"/>
          <w:szCs w:val="21"/>
        </w:rPr>
        <w:t xml:space="preserve">뉴스는 이 작업에서 웹 검색으로 확인했다. 명시된 회사 이벤트 외의 순위·동반 움직임·지속성 평가는 제공 가격에서 도출한 해석이다. 모든 1,403개 종목의 뉴스를 전수 확인한 것은 아니다. API 키를 사용하는 유료 모델 호출은 하지 않았다.</w:t>
      </w:r>
    </w:p>
    <w:sectPr>
      <w:footerReference w:type="default" r:id="rId7"/>
      <w:pgSz w:w="11906" w:h="16838" w:orient="portrait"/>
      <w:pgMar w:top="850" w:right="763" w:bottom="850" w:left="7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64758B"/>
        <w:sz w:val="16"/>
        <w:szCs w:val="16"/>
      </w:rPr>
      <w:t xml:space="preserve">2026.09.07 · 가격 2026.09.04  |  </w:t>
    </w:r>
    <w:r>
      <w:rPr>
        <w:rFonts w:ascii="Malgun Gothic" w:cs="Malgun Gothic" w:eastAsia="Malgun Gothic" w:hAnsi="Malgun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after="150"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bkzmc2vjufga-rulli8-" Type="http://schemas.openxmlformats.org/officeDocument/2006/relationships/hyperlink" Target="https://news.adobe.com/ja/news/2026/09/20260904-adobe-ceo-announcement" TargetMode="External"/><Relationship Id="rId64-uqy-oulaoacxwo4_8k" Type="http://schemas.openxmlformats.org/officeDocument/2006/relationships/hyperlink" Target="https://rss.globenewswire.com/news-release/2026/09/02/3355388/0/en/soitec-trading-updat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미국 AI 밸류체인 데일리 로테이션</dc:title>
  <dc:creator>Research</dc:creator>
  <cp:lastModifiedBy>Un-named</cp:lastModifiedBy>
  <cp:revision>1</cp:revision>
  <dcterms:created xsi:type="dcterms:W3CDTF">2026-09-07T07:34:29.819Z</dcterms:created>
  <dcterms:modified xsi:type="dcterms:W3CDTF">2026-09-07T07:34:29.819Z</dcterms:modified>
</cp:coreProperties>
</file>

<file path=docProps/custom.xml><?xml version="1.0" encoding="utf-8"?>
<Properties xmlns="http://schemas.openxmlformats.org/officeDocument/2006/custom-properties" xmlns:vt="http://schemas.openxmlformats.org/officeDocument/2006/docPropsVTypes"/>
</file>