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line="310"/>
      </w:pPr>
      <w:r>
        <w:rPr>
          <w:rFonts w:ascii="Malgun Gothic" w:cs="Malgun Gothic" w:eastAsia="Malgun Gothic" w:hAnsi="Malgun Gothic"/>
          <w:b/>
          <w:bCs/>
          <w:color w:val="197C87"/>
          <w:sz w:val="20"/>
          <w:szCs w:val="20"/>
        </w:rPr>
        <w:t xml:space="preserve">DAILY EQUITY RESEARCH · 2026.09.07</w:t>
      </w:r>
    </w:p>
    <w:p>
      <w:pPr>
        <w:pStyle w:val="Title"/>
        <w:spacing w:after="160"/>
      </w:pPr>
      <w:r>
        <w:rPr>
          <w:rFonts w:ascii="Malgun Gothic" w:cs="Malgun Gothic" w:eastAsia="Malgun Gothic" w:hAnsi="Malgun Gothic"/>
          <w:b/>
          <w:bCs/>
          <w:color w:val="17365D"/>
          <w:sz w:val="38"/>
          <w:szCs w:val="38"/>
        </w:rPr>
        <w:t xml:space="preserve">미국·중국·유럽 데일리 시황</w:t>
      </w:r>
    </w:p>
    <w:p>
      <w:pPr>
        <w:spacing w:after="150" w:line="310"/>
      </w:pPr>
      <w:r>
        <w:rPr>
          <w:rFonts w:ascii="Malgun Gothic" w:cs="Malgun Gothic" w:eastAsia="Malgun Gothic" w:hAnsi="Malgun Gothic"/>
          <w:sz w:val="21"/>
          <w:szCs w:val="21"/>
        </w:rPr>
        <w:t xml:space="preserve">S&amp;P 500 · CSI 300 · STOXX 600 | Top / Bottom 100</w:t>
      </w:r>
    </w:p>
    <w:p>
      <w:pPr>
        <w:spacing w:after="150" w:line="310"/>
      </w:pPr>
      <w:r>
        <w:rPr>
          <w:rFonts w:ascii="Malgun Gothic" w:cs="Malgun Gothic" w:eastAsia="Malgun Gothic" w:hAnsi="Malgun Gothic"/>
          <w:color w:val="64758B"/>
          <w:sz w:val="18"/>
          <w:szCs w:val="18"/>
        </w:rPr>
        <w:t xml:space="preserve">가격 기준 2026.09.04 종가 | 작성 2026.09.07 | 사용자 제공 BQuant 데이터</w:t>
      </w:r>
    </w:p>
    <w:p>
      <w:pPr>
        <w:pStyle w:val="Heading1"/>
        <w:keepNext/>
        <w:spacing w:after="150" w:before="320"/>
      </w:pPr>
      <w:r>
        <w:rPr>
          <w:rFonts w:ascii="Malgun Gothic" w:cs="Malgun Gothic" w:eastAsia="Malgun Gothic" w:hAnsi="Malgun Gothic"/>
          <w:b/>
          <w:bCs/>
          <w:color w:val="17365D"/>
          <w:sz w:val="28"/>
          <w:szCs w:val="28"/>
        </w:rPr>
        <w:t xml:space="preserve">오늘의 결론</w:t>
      </w:r>
    </w:p>
    <w:p>
      <w:pPr>
        <w:spacing w:after="150" w:line="310"/>
      </w:pPr>
      <w:r>
        <w:rPr>
          <w:rFonts w:ascii="Malgun Gothic" w:cs="Malgun Gothic" w:eastAsia="Malgun Gothic" w:hAnsi="Malgun Gothic"/>
          <w:sz w:val="21"/>
          <w:szCs w:val="21"/>
        </w:rPr>
        <w:t xml:space="preserve">미국은 AI 하드웨어·전력의 반등과 소프트웨어 하락, 중국은 AI 하드웨어 약세와 소비·게임·조선 강세, 유럽은 일부 하드웨어의 실적 기대와 자동차 구조조정 기대가 공존했다. 같은 AI 테마라도 국가·단계·측정 기간에 따라 움직임이 다르다. 오늘의 순위와 최근 10거래일 순위를 분리해 읽어야 한다.</w:t>
      </w:r>
    </w:p>
    <w:p>
      <w:pPr>
        <w:keepNext/>
        <w:spacing w:after="80" w:before="170"/>
      </w:pPr>
      <w:r>
        <w:rPr>
          <w:rFonts w:ascii="Malgun Gothic" w:cs="Malgun Gothic" w:eastAsia="Malgun Gothic" w:hAnsi="Malgun Gothic"/>
          <w:b/>
          <w:bCs/>
          <w:color w:val="17365D"/>
          <w:sz w:val="21"/>
          <w:szCs w:val="21"/>
        </w:rPr>
        <w:t xml:space="preserve">시장 내부 분포 — 제공 구성종목 가격</w:t>
      </w:r>
    </w:p>
    <w:tbl>
      <w:tblPr>
        <w:tblW w:type="dxa" w:w="10380"/>
        <w:tblBorders>
          <w:top w:val="single" w:color="DBE4ED" w:sz="4"/>
          <w:left w:val="none" w:sz="0"/>
          <w:bottom w:val="single" w:color="DBE4ED" w:sz="4"/>
          <w:right w:val="none" w:sz="0"/>
          <w:insideH w:val="single" w:color="DBE4ED" w:sz="3"/>
          <w:insideV w:val="none" w:sz="0"/>
        </w:tblBorders>
      </w:tblPr>
      <w:tblGrid>
        <w:gridCol w:w="2500"/>
        <w:gridCol w:w="1576"/>
        <w:gridCol w:w="1576"/>
        <w:gridCol w:w="1576"/>
        <w:gridCol w:w="1576"/>
        <w:gridCol w:w="1576"/>
      </w:tblGrid>
      <w:tr>
        <w:trPr>
          <w:cantSplit/>
          <w:tblHeader/>
        </w:trPr>
        <w:tc>
          <w:tcPr>
            <w:tcW w:type="dxa" w:w="25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시장</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유효 종목</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상승</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하락</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보합</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시총가중 1D 참고치</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미국 · S&amp;P 500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503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175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327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-0.45%</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중국 · CSI 300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300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174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120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+0.02%</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유럽 · STOXX Europe 600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323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270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r>
    </w:tbl>
    <w:p>
      <w:pPr>
        <w:spacing w:after="60"/>
      </w:pPr>
      <w:r>
        <w:rPr>
          <w:rFonts w:ascii="Malgun Gothic" w:cs="Malgun Gothic" w:eastAsia="Malgun Gothic" w:hAnsi="Malgun Gothic"/>
          <w:sz w:val="21"/>
          <w:szCs w:val="21"/>
        </w:rPr>
        <w:t xml:space="preserve"/>
      </w:r>
    </w:p>
    <w:p>
      <w:pPr>
        <w:spacing w:after="150" w:line="310"/>
      </w:pPr>
      <w:r>
        <w:rPr>
          <w:rFonts w:ascii="Malgun Gothic" w:cs="Malgun Gothic" w:eastAsia="Malgun Gothic" w:hAnsi="Malgun Gothic"/>
          <w:sz w:val="21"/>
          <w:szCs w:val="21"/>
        </w:rPr>
        <w:t xml:space="preserve">Top/Bottom은 각각 100개로 구성했다. 아래 본문에는 핵심 10개씩을 먼저 싣고, HTML 하단과 엑셀에 1D·10거래일별 100개 전체를 수록했다. 위 참고치를 공식 지수 수익률로 사용하지 않는다.</w:t>
      </w:r>
    </w:p>
    <w:p>
      <w:pPr>
        <w:pStyle w:val="Heading1"/>
        <w:keepNext/>
        <w:spacing w:after="150" w:before="320"/>
      </w:pPr>
      <w:r>
        <w:rPr>
          <w:rFonts w:ascii="Malgun Gothic" w:cs="Malgun Gothic" w:eastAsia="Malgun Gothic" w:hAnsi="Malgun Gothic"/>
          <w:b/>
          <w:bCs/>
          <w:color w:val="17365D"/>
          <w:sz w:val="28"/>
          <w:szCs w:val="28"/>
        </w:rPr>
        <w:t xml:space="preserve">미국 · S&amp;P 500</w:t>
      </w:r>
    </w:p>
    <w:p>
      <w:pPr>
        <w:spacing w:after="150" w:line="310"/>
      </w:pPr>
      <w:r>
        <w:rPr>
          <w:rFonts w:ascii="Malgun Gothic" w:cs="Malgun Gothic" w:eastAsia="Malgun Gothic" w:hAnsi="Malgun Gothic"/>
          <w:sz w:val="21"/>
          <w:szCs w:val="21"/>
        </w:rPr>
        <w:t xml:space="preserve">미국은 지수 하락 속 AI 하드웨어의 선택적 반등이었다. 공식 S&amp;P 500은 9월 4일 약 0.4% 하락했다. 같은 날 발표된 미국 고용 증가 16.2만 명과 채권금리 상승은 시장의 부담으로 보도됐다. 이 배경과 별개로 제공 데이터에서 S&amp;P 500의 상승 종목은 175개, 하락은 327개였다. 지수 전반으로 위험선호가 확산된 날로 보기는 어렵다.</w:t>
      </w:r>
    </w:p>
    <w:p>
      <w:pPr>
        <w:spacing w:after="120"/>
      </w:pPr>
      <w:hyperlink w:history="1" r:id="rIdvkp-mlh1qfkjuyes7jcdh">
        <w:r>
          <w:rPr>
            <w:rFonts w:ascii="Malgun Gothic" w:cs="Malgun Gothic" w:eastAsia="Malgun Gothic" w:hAnsi="Malgun Gothic"/>
            <w:color w:val="28699C"/>
            <w:sz w:val="16"/>
            <w:szCs w:val="16"/>
            <w:u w:val="single"/>
          </w:rPr>
          <w:t xml:space="preserve">AP · 9월 4일 미국 증시 종가</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상승 상위 100개 가운데 IT 32개, 산업재 31개로 둘을 합하면 63개다. Sandisk +11.90%, KLA +7.32%, Marvell +7.05%, Coherent +6.60%, Seagate +6.34%, Micron +6.10%가 상위권에 함께 나타났다. 메모리·저장장치·반도체 장비·광통신을 가로지르는 동반 강세라는 점은 확인된다. 다만 이를 당일 신규 수주나 실적 상향이 일제히 발생한 결과라고 해석할 근거는 이번 검색에서 확보하지 못했다.</w:t>
      </w:r>
    </w:p>
    <w:p>
      <w:pPr>
        <w:spacing w:after="150" w:line="310"/>
      </w:pPr>
      <w:r>
        <w:rPr>
          <w:rFonts w:ascii="Malgun Gothic" w:cs="Malgun Gothic" w:eastAsia="Malgun Gothic" w:hAnsi="Malgun Gothic"/>
          <w:sz w:val="21"/>
          <w:szCs w:val="21"/>
        </w:rPr>
        <w:t xml:space="preserve">반대편에서는 소프트웨어와 데이터 서비스가 압박받았다. FICO -16.68%, Autodesk -8.26%, Adobe -6.73%, PTC -6.04%, Synopsys -5.40%, Workday -5.38%다. 특히 FICO는 VantageScore 이용 확대 지시가 경쟁 부담으로 보도된 별도 촉매가 있었다. 기술주 하락을 모두 같은 AI 대체 논리로 설명하면 이 규제·경쟁 이슈를 놓친다.</w:t>
      </w:r>
    </w:p>
    <w:p>
      <w:pPr>
        <w:spacing w:after="120"/>
      </w:pPr>
      <w:hyperlink w:history="1" r:id="rIdpzqooo1vkblx404fjcfvp">
        <w:r>
          <w:rPr>
            <w:rFonts w:ascii="Malgun Gothic" w:cs="Malgun Gothic" w:eastAsia="Malgun Gothic" w:hAnsi="Malgun Gothic"/>
            <w:color w:val="28699C"/>
            <w:sz w:val="16"/>
            <w:szCs w:val="16"/>
            <w:u w:val="single"/>
          </w:rPr>
          <w:t xml:space="preserve">Investing.com · 9월 4일 FICO / VantageScore</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Adobe는 12월 1일 Anil Chakravarthy가 CEO를 맡는 승계 계획을 발표했다. 발표 사실은 확인되지만, -6.73% 하락 중 승계 뉴스와 업종 요인이 각각 얼마나 기여했는지는 분리할 수 없다. Lululemon -17.38%는 더 명확한 실적 이벤트다. 회사 발표상 매출은 4%, 비교매출은 9% 감소했다. 보고 EPS 2.92달러에는 관세 환급·관련 이자 효과 0.86달러가 포함돼, 이 효과를 제외한 2.06달러와 혼동하면 안 된다.</w:t>
      </w:r>
    </w:p>
    <w:p>
      <w:pPr>
        <w:spacing w:after="120"/>
      </w:pPr>
      <w:hyperlink w:history="1" r:id="rIddao2zntauw-gbaolfslwy">
        <w:r>
          <w:rPr>
            <w:rFonts w:ascii="Malgun Gothic" w:cs="Malgun Gothic" w:eastAsia="Malgun Gothic" w:hAnsi="Malgun Gothic"/>
            <w:color w:val="28699C"/>
            <w:sz w:val="16"/>
            <w:szCs w:val="16"/>
            <w:u w:val="single"/>
          </w:rPr>
          <w:t xml:space="preserve">Adobe · 9월 4일 CEO 승계 공지(일본어판)</w:t>
        </w:r>
      </w:hyperlink>
      <w:r>
        <w:rPr>
          <w:rFonts w:ascii="Malgun Gothic" w:cs="Malgun Gothic" w:eastAsia="Malgun Gothic" w:hAnsi="Malgun Gothic"/>
          <w:sz w:val="16"/>
          <w:szCs w:val="16"/>
        </w:rPr>
        <w:t xml:space="preserve">  </w:t>
      </w:r>
      <w:hyperlink w:history="1" r:id="rIdvas1_b4gidnrbvwuvxuoi">
        <w:r>
          <w:rPr>
            <w:rFonts w:ascii="Malgun Gothic" w:cs="Malgun Gothic" w:eastAsia="Malgun Gothic" w:hAnsi="Malgun Gothic"/>
            <w:color w:val="28699C"/>
            <w:sz w:val="16"/>
            <w:szCs w:val="16"/>
            <w:u w:val="single"/>
          </w:rPr>
          <w:t xml:space="preserve">lululemon · 9월 3일 FY2026 Q2 실적 발표</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10거래일 관점은 하루와 다르다. Salesforce +23.93%, Dell +18.56%, Meta +12.16%, CrowdStrike +11.02%, ServiceNow +9.95%가 최근 10거래일 상승 상위권이다. 따라서 오늘의 소프트웨어 약세는 지난 2주간 전부 하락했다는 뜻이 아니라, 일부 반등 주도주의 최근 흐름이 꺾인 것이다. 다음 관찰점은 하드웨어가 1~2일 반등에 그치는지, 소프트웨어의 10일 강세 종목이 다시 상대강도를 회복하는지다.</w:t>
      </w:r>
    </w:p>
    <w:p>
      <w:pPr>
        <w:keepNext/>
        <w:spacing w:after="80" w:before="170"/>
      </w:pPr>
      <w:r>
        <w:rPr>
          <w:rFonts w:ascii="Malgun Gothic" w:cs="Malgun Gothic" w:eastAsia="Malgun Gothic" w:hAnsi="Malgun Gothic"/>
          <w:b/>
          <w:bCs/>
          <w:color w:val="17365D"/>
          <w:sz w:val="21"/>
          <w:szCs w:val="21"/>
        </w:rPr>
        <w:t xml:space="preserve">당일 상승 상위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SNDK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Sandisk Corp</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+11.90%</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+9.02%</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KLAC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KLA Corp</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+7.32%</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+0.88%</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MRVL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Marvell Technology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+7.05%</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-5.69%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COHR UN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Coherent Corp</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+6.60%</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-2.65%</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NRG UN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NRG Energy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유틸리티</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+6.42%</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+5.23%</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STX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Seagate Technology Holdings PL</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+6.34%</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-0.08%</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MU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Micron Technology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+6.10%</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+5.15%</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WDC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Western Digital Corp</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+5.86%</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+1.75%</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GLW UN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Corning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+5.68%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+2.98%</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TER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Teradyne Inc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+5.45%</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-4.98%</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당일 하락 하위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LULU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Lululemon Athletica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-17.38%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-16.90%</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FICO UN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Fair Isaac Corp</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-16.68%</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-20.50%</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ADSK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Autodesk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-8.26%</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-14.15%</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ADBE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Adobe Inc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-6.73%</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-3.19%</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EFX UN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Equifax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-6.37%</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-8.08%</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PTC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PTC Inc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-6.04%</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-8.83%</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TSLA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Tesla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-5.92%</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-2.42%</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SNPS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Synopsys Inc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-5.40%</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-1.01%</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WDAY UW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Workday Inc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-5.38%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-2.11%</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NFLX UW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Netflix Inc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-5.35%</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-1.68%</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모든 섹터 — 어디에 강세·약세가 몰렸나</w:t>
      </w:r>
    </w:p>
    <w:tbl>
      <w:tblPr>
        <w:tblW w:type="dxa" w:w="10380"/>
        <w:tblBorders>
          <w:top w:val="single" w:color="DBE4ED" w:sz="4"/>
          <w:left w:val="none" w:sz="0"/>
          <w:bottom w:val="single" w:color="DBE4ED" w:sz="4"/>
          <w:right w:val="none" w:sz="0"/>
          <w:insideH w:val="single" w:color="DBE4ED" w:sz="3"/>
          <w:insideV w:val="none" w:sz="0"/>
        </w:tblBorders>
      </w:tblPr>
      <w:tblGrid>
        <w:gridCol w:w="2500"/>
        <w:gridCol w:w="1576"/>
        <w:gridCol w:w="1576"/>
        <w:gridCol w:w="1576"/>
        <w:gridCol w:w="1576"/>
        <w:gridCol w:w="1576"/>
      </w:tblGrid>
      <w:tr>
        <w:trPr>
          <w:cantSplit/>
          <w:tblHeader/>
        </w:trPr>
        <w:tc>
          <w:tcPr>
            <w:tcW w:type="dxa" w:w="25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전체 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하위100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가중 참고치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상승 비율</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+0.39%</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63.9%</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32</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+0.27%</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56.2%</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유틸리티</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22.6%</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-0.41%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48.0%</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금융</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76</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-0.76%</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17.1%</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부동산</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-0.84%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20.0%</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17.6%</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-0.99%</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23.8%</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20.8%</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59</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13.6%</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40.4%</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중국 · CSI 300</w:t>
      </w:r>
    </w:p>
    <w:p>
      <w:pPr>
        <w:spacing w:after="150" w:line="310"/>
      </w:pPr>
      <w:r>
        <w:rPr>
          <w:rFonts w:ascii="Malgun Gothic" w:cs="Malgun Gothic" w:eastAsia="Malgun Gothic" w:hAnsi="Malgun Gothic"/>
          <w:sz w:val="21"/>
          <w:szCs w:val="21"/>
        </w:rPr>
        <w:t xml:space="preserve">중국은 미국과 다른 방향의 로테이션이다. Reuters가 전한 CSI 300 공식 수익률은 약 -0.1%였다. 그러나 제공 구성종목에서는 174개가 오르고 120개가 내렸다. 지수의 소폭 하락과 상승 종목 우위는 양립할 수 있으며, 시가총액이 큰 약세 종목과 업종 간 차별화를 함께 봐야 한다.</w:t>
      </w:r>
    </w:p>
    <w:p>
      <w:pPr>
        <w:spacing w:after="120"/>
      </w:pPr>
      <w:hyperlink w:history="1" r:id="rId1jv30luyfixihtulhctqv">
        <w:r>
          <w:rPr>
            <w:rFonts w:ascii="Malgun Gothic" w:cs="Malgun Gothic" w:eastAsia="Malgun Gothic" w:hAnsi="Malgun Gothic"/>
            <w:color w:val="28699C"/>
            <w:sz w:val="16"/>
            <w:szCs w:val="16"/>
            <w:u w:val="single"/>
          </w:rPr>
          <w:t xml:space="preserve">Reuters · 9월 4일 중국 종가</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하락 하위 100개 중 IT가 45개, 소재가 23개로 합계 68개다. IEIT Systems(浪潮信息) -9.99%, Unisplendour -7.50%, Envicool -6.69%, Ruijie -6.33%, JCET -5.49%, WUS PCB -4.23%가 서버·네트워크·냉각·패키징·PCB에 걸쳐 약세였다. 중국 AI 하드웨어 약세는 한 종목의 돌발 하락보다 범위가 넓다. 신화재경도 컴퓨팅 관련 업종이 장중 상승분을 반납하고 오후에 하락했다고 보도했다. 개별 악재가 확인되지 않은 기업에는 별도의 규제나 주문 취소 원인을 붙이지 않았다.</w:t>
      </w:r>
    </w:p>
    <w:p>
      <w:pPr>
        <w:spacing w:after="120"/>
      </w:pPr>
      <w:hyperlink w:history="1" r:id="rIdvlnkypmip-ba_vhwbekr7">
        <w:r>
          <w:rPr>
            <w:rFonts w:ascii="Malgun Gothic" w:cs="Malgun Gothic" w:eastAsia="Malgun Gothic" w:hAnsi="Malgun Gothic"/>
            <w:color w:val="28699C"/>
            <w:sz w:val="16"/>
            <w:szCs w:val="16"/>
            <w:u w:val="single"/>
          </w:rPr>
          <w:t xml:space="preserve">신화재경 · 9월 4일 업종 동향</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강세는 조선·게임·콘텐츠·소비로 이동했다. China CSSC +9.18%, Century Huatong +7.96%, Wens +6.15%, Mango Excellent Media +5.46%, Luzhou Laojiao +5.16%, Shanxi Fen Wine +4.79%, Muyuan +4.49%다. 필수소비재 16개는 모두 상승했고 모두 일간 상위 100개에 들었다. 이는 필수소비재 안에서 소수 종목만 오른 날과 구분되는 특징이다.</w:t>
      </w:r>
    </w:p>
    <w:p>
      <w:pPr>
        <w:spacing w:after="150" w:line="310"/>
      </w:pPr>
      <w:r>
        <w:rPr>
          <w:rFonts w:ascii="Malgun Gothic" w:cs="Malgun Gothic" w:eastAsia="Malgun Gothic" w:hAnsi="Malgun Gothic"/>
          <w:sz w:val="21"/>
          <w:szCs w:val="21"/>
        </w:rPr>
        <w:t xml:space="preserve">중국선박은 9월 2일 공시 보도에서 자회사 등의 LNG 이중연료 자동차운반선 10척, 10억 달러 초과 계약이 확인된다. 계약 체결은 9월 1일로, 9월 4일에 새로 나온 수주라고 쓰면 안 된다. 당일 강세의 관련 배경으로는 유효하지만 수주 뉴스만으로 전체 상승분을 설명하지는 않는다.</w:t>
      </w:r>
    </w:p>
    <w:p>
      <w:pPr>
        <w:spacing w:after="120"/>
      </w:pPr>
      <w:hyperlink w:history="1" r:id="rIdy0pcmo3lht4jdpqb1jjph">
        <w:r>
          <w:rPr>
            <w:rFonts w:ascii="Malgun Gothic" w:cs="Malgun Gothic" w:eastAsia="Malgun Gothic" w:hAnsi="Malgun Gothic"/>
            <w:color w:val="28699C"/>
            <w:sz w:val="16"/>
            <w:szCs w:val="16"/>
            <w:u w:val="single"/>
          </w:rPr>
          <w:t xml:space="preserve">증권일보 · 9월 2일 중국선박 수주 공시 보도</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10거래일로 보면 Mango +41.38%, Envicool +18.09%, Century Huatong +13.82%다. Envicool은 오늘 -6.69%지만 10일 전체로는 여전히 강해 단기 되돌림과 중기 약세를 구분해야 한다. 반대로 Sungrow -21.80%, JCET -14.27%, Zhongji Innolight -13.68%, Ruijie -13.60%는 10일 약세가 누적됐다. 중국 AI를 단일 바스켓으로 판단하기보다 냉각·광모듈·전력변환·콘텐츠를 따로 보는 것이 유용하다.</w:t>
      </w:r>
    </w:p>
    <w:p>
      <w:pPr>
        <w:keepNext/>
        <w:spacing w:after="80" w:before="170"/>
      </w:pPr>
      <w:r>
        <w:rPr>
          <w:rFonts w:ascii="Malgun Gothic" w:cs="Malgun Gothic" w:eastAsia="Malgun Gothic" w:hAnsi="Malgun Gothic"/>
          <w:b/>
          <w:bCs/>
          <w:color w:val="17365D"/>
          <w:sz w:val="21"/>
          <w:szCs w:val="21"/>
        </w:rPr>
        <w:t xml:space="preserve">당일 상승 상위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600150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China CSSC Holdings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+9.18%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+11.25%</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002602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Zhejiang Century Huatong Group</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+7.96%</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+13.82%</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300498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Wens Foodstuff Group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+6.15%</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+13.02%</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300413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Mango Excellent Media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+5.46%</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+41.38%</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000568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Luzhou Laojiao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+5.16%</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-6.20%</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600809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Shanxi Xinghuacun Fen Wine Fac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+4.79%</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+5.16%</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000596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Anhui Gujing Distillery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+4.56%</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+11.61%</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002714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Muyuan Foods Group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+4.49%</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+12.54%</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688271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Shanghai United Imaging Health</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+3.33%</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+2.43%</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000002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China Vanke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부동산</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+3.18%</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+5.19%</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당일 하락 하위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000977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IEIT Systems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-9.99%</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000938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Unisplendour Corp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-7.50%</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-3.21%</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002837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Shenzhen Envicool Technology C</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-6.69%</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+18.09%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301165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Ruijie Networks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-6.33%</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-13.60%</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600176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China Jushi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-5.75%</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-4.42%</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600584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JCET Group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-5.49%</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-14.27%</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603296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Huaqin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-4.66%</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-2.89%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002463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WUS Printed Circuit Kunshan Co</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-4.23%</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-8.01%</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601689 CH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Ningbo Tuopu Group Co Ltd</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-4.20%</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-2.34%</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688183 CH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Shengyi Electronics Co Ltd</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-4.11%</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+10.09%</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모든 섹터 — 어디에 강세·약세가 몰렸나</w:t>
      </w:r>
    </w:p>
    <w:tbl>
      <w:tblPr>
        <w:tblW w:type="dxa" w:w="10380"/>
        <w:tblBorders>
          <w:top w:val="single" w:color="DBE4ED" w:sz="4"/>
          <w:left w:val="none" w:sz="0"/>
          <w:bottom w:val="single" w:color="DBE4ED" w:sz="4"/>
          <w:right w:val="none" w:sz="0"/>
          <w:insideH w:val="single" w:color="DBE4ED" w:sz="3"/>
          <w:insideV w:val="none" w:sz="0"/>
        </w:tblBorders>
      </w:tblPr>
      <w:tblGrid>
        <w:gridCol w:w="2500"/>
        <w:gridCol w:w="1576"/>
        <w:gridCol w:w="1576"/>
        <w:gridCol w:w="1576"/>
        <w:gridCol w:w="1576"/>
        <w:gridCol w:w="1576"/>
      </w:tblGrid>
      <w:tr>
        <w:trPr>
          <w:cantSplit/>
          <w:tblHeader/>
        </w:trPr>
        <w:tc>
          <w:tcPr>
            <w:tcW w:type="dxa" w:w="25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전체 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하위100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가중 참고치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상승 비율</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부동산</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+2.70%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+2.61%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금융</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19</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+0.59%</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88.7%</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58</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+0.52%</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62.1%</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70.0%</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+0.32%</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81.2%</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72.2%</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40.0%</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유틸리티</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38.5%</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26.5%</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29.4%</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유럽 · STOXX Europe 600</w:t>
      </w:r>
    </w:p>
    <w:p>
      <w:pPr>
        <w:spacing w:after="150" w:line="310"/>
      </w:pPr>
      <w:r>
        <w:rPr>
          <w:rFonts w:ascii="Malgun Gothic" w:cs="Malgun Gothic" w:eastAsia="Malgun Gothic" w:hAnsi="Malgun Gothic"/>
          <w:sz w:val="21"/>
          <w:szCs w:val="21"/>
        </w:rPr>
        <w:t xml:space="preserve">유럽은 STOXX Europe 600 전체를 사용했다. 유로존 50종목으로 범위를 줄이지 않았다. Reuters 기준 지수는 9월 4일 +0.12%였지만 주간으로는 약 -0.8%였다. 제공 데이터에서는 상승 323개, 하락 270개로 미국보다 상승의 폭이 넓다. 그렇다고 유럽 전체로 자금이 순유입됐다고 단정할 수는 없다. 여기서 확인하는 것은 종목 수익률의 분포다.</w:t>
      </w:r>
    </w:p>
    <w:p>
      <w:pPr>
        <w:spacing w:after="120"/>
      </w:pPr>
      <w:hyperlink w:history="1" r:id="rIdcn9xq_abtdrueoeh7ioga">
        <w:r>
          <w:rPr>
            <w:rFonts w:ascii="Malgun Gothic" w:cs="Malgun Gothic" w:eastAsia="Malgun Gothic" w:hAnsi="Malgun Gothic"/>
            <w:color w:val="28699C"/>
            <w:sz w:val="16"/>
            <w:szCs w:val="16"/>
            <w:u w:val="single"/>
          </w:rPr>
          <w:t xml:space="preserve">Reuters · 9월 4일 유럽 종가</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상위 100개의 중심은 산업재 27개, IT 16개, 소재 13개, 경기소비재 13개다. AT&amp;S +11.16%, ASM International +6.20%, Technoprobe +3.94%, Soitec +3.89%가 기술 하드웨어 강세를 보여준다. 반면 Dassault Systèmes -6.49%, Nemetschek -6.02%는 소프트웨어 약세였다. 미국에서 관찰된 하드웨어 대 소프트웨어 차별화가 유럽에서도 일부 나타났다.</w:t>
      </w:r>
    </w:p>
    <w:p>
      <w:pPr>
        <w:spacing w:after="150" w:line="310"/>
      </w:pPr>
      <w:r>
        <w:rPr>
          <w:rFonts w:ascii="Malgun Gothic" w:cs="Malgun Gothic" w:eastAsia="Malgun Gothic" w:hAnsi="Malgun Gothic"/>
          <w:sz w:val="21"/>
          <w:szCs w:val="21"/>
        </w:rPr>
        <w:t xml:space="preserve">Soitec은 가격 반등과 연결할 수 있는 실적 근거가 있다. 9월 2일 회사는 Photonics-SOI 수요 증가를 이유로 FY2027 2분기 매출 성장 가이던스를 30% 초과에서 약 50%로 높였다. 그 분기 Photonics-SOI 매출은 전년의 약 3배를 예상했다. 오늘 수익률만 아니라 10일 +16.85%와 함께 볼 만한 구체적인 상향이다. AT&amp;S 등 다른 상승 종목에 동일한 회사별 실적 상향이 있었다고 일반화하지 않는다.</w:t>
      </w:r>
    </w:p>
    <w:p>
      <w:pPr>
        <w:spacing w:after="120"/>
      </w:pPr>
      <w:hyperlink w:history="1" r:id="rIdzh0rx1nalryoknppnod01">
        <w:r>
          <w:rPr>
            <w:rFonts w:ascii="Malgun Gothic" w:cs="Malgun Gothic" w:eastAsia="Malgun Gothic" w:hAnsi="Malgun Gothic"/>
            <w:color w:val="28699C"/>
            <w:sz w:val="16"/>
            <w:szCs w:val="16"/>
            <w:u w:val="single"/>
          </w:rPr>
          <w:t xml:space="preserve">Soitec · 9월 2일 Trading Update / 회사 배포문</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Volkswagen 우선주(VOW3)는 제공 데이터에서 +6.47%다. Reuters는 노사와 구조조정 계획의 진전 및 자동차 업종 강세를 보도했다. 이는 자동차 수요가 전면 개선됐다는 신호와 다르다. 비용·설비 구조조정 기대와 수요 회복을 구분해야 한다. 보도에 나온 다른 주식 종류의 상승률을 VOW3 가격에 덮어쓰지 않았다.</w:t>
      </w:r>
    </w:p>
    <w:p>
      <w:pPr>
        <w:spacing w:after="120"/>
      </w:pPr>
      <w:hyperlink w:history="1" r:id="rIdnkarwmeus4idesx3kv8p4">
        <w:r>
          <w:rPr>
            <w:rFonts w:ascii="Malgun Gothic" w:cs="Malgun Gothic" w:eastAsia="Malgun Gothic" w:hAnsi="Malgun Gothic"/>
            <w:color w:val="28699C"/>
            <w:sz w:val="16"/>
            <w:szCs w:val="16"/>
            <w:u w:val="single"/>
          </w:rPr>
          <w:t xml:space="preserve">Reuters · 9월 4일 유럽 종가</w:t>
        </w:r>
      </w:hyperlink>
      <w:r>
        <w:rPr>
          <w:rFonts w:ascii="Malgun Gothic" w:cs="Malgun Gothic" w:eastAsia="Malgun Gothic" w:hAnsi="Malgun Gothic"/>
          <w:sz w:val="16"/>
          <w:szCs w:val="16"/>
        </w:rPr>
        <w:t xml:space="preserve">  </w:t>
      </w:r>
    </w:p>
    <w:p>
      <w:pPr>
        <w:spacing w:after="150" w:line="310"/>
      </w:pPr>
      <w:r>
        <w:rPr>
          <w:rFonts w:ascii="Malgun Gothic" w:cs="Malgun Gothic" w:eastAsia="Malgun Gothic" w:hAnsi="Malgun Gothic"/>
          <w:sz w:val="21"/>
          <w:szCs w:val="21"/>
        </w:rPr>
        <w:t xml:space="preserve">유럽에서 눈에 띄는 취약점은 방산의 10일 성과다. Hensoldt -10.75%, QinetiQ -10.71%, Babcock -10.63%, Rheinmetall -10.51%, Saab -10.50%, Leonardo -10.29%, CSG -10.17%, Renk -9.74%로 하위 10개 중 8개가 방산 관련이다. 정책 테마가 유효하더라도 최근 주가 리더십은 약하다. 특정 평화 협상이나 예산 삭감을 확인 없이 원인으로 달지 않았으며, 이번에는 가격상 확인되는 동반 약세로 정리한다.</w:t>
      </w:r>
    </w:p>
    <w:p>
      <w:pPr>
        <w:keepNext/>
        <w:spacing w:after="80" w:before="170"/>
      </w:pPr>
      <w:r>
        <w:rPr>
          <w:rFonts w:ascii="Malgun Gothic" w:cs="Malgun Gothic" w:eastAsia="Malgun Gothic" w:hAnsi="Malgun Gothic"/>
          <w:b/>
          <w:bCs/>
          <w:color w:val="17365D"/>
          <w:sz w:val="21"/>
          <w:szCs w:val="21"/>
        </w:rPr>
        <w:t xml:space="preserve">당일 상승 상위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ATS AV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AT&amp;S Austria Technologie &amp; Sys</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+11.16%</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+17.64%</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TKA GY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thyssenkrupp AG</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소재</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+6.51%</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+13.76%</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VOW3 GY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Volkswagen AG</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+6.47%</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+8.37%</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ASM NA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ASM International NV</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+6.20%</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-0.63%</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MAERSKB DC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AP Moller - Maersk A/S</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+4.58%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+4.59%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CCC LN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Computacenter PLC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+4.06%</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+9.52%</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KGX GY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KION Group AG</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+3.97%</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+10.22%</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GTT FP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Gaztransport Et Technigaz SA</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+3.94%</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+5.26%</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TPRO IM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Technoprobe SpA</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+3.94%</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-1.51%</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SOI FP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SOITEC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+3.89%</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+16.85%</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당일 하락 하위 10</w:t>
      </w:r>
    </w:p>
    <w:tbl>
      <w:tblPr>
        <w:tblW w:type="dxa" w:w="10380"/>
        <w:tblBorders>
          <w:top w:val="single" w:color="DBE4ED" w:sz="4"/>
          <w:left w:val="none" w:sz="0"/>
          <w:bottom w:val="single" w:color="DBE4ED" w:sz="4"/>
          <w:right w:val="none" w:sz="0"/>
          <w:insideH w:val="single" w:color="DBE4ED" w:sz="3"/>
          <w:insideV w:val="none" w:sz="0"/>
        </w:tblBorders>
      </w:tblPr>
      <w:tblGrid>
        <w:gridCol w:w="520"/>
        <w:gridCol w:w="1580"/>
        <w:gridCol w:w="3300"/>
        <w:gridCol w:w="1580"/>
        <w:gridCol w:w="1700"/>
        <w:gridCol w:w="1700"/>
      </w:tblGrid>
      <w:tr>
        <w:trPr>
          <w:cantSplit/>
          <w:tblHeader/>
        </w:trPr>
        <w:tc>
          <w:tcPr>
            <w:tcW w:type="dxa" w:w="5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순위</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티커</w:t>
            </w:r>
          </w:p>
        </w:tc>
        <w:tc>
          <w:tcPr>
            <w:tcW w:type="dxa" w:w="33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15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10거래일</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DSY FP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Dassault Systemes SE</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-6.49%</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-6.29%</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NEM GY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Nemetschek SE</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-6.02%</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-3.88%</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UCB BB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UCB SA</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-4.58%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-5.01%</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EXPN LN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Experian PLC</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-4.42%</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-4.93%</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DIM FP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Sartorius Stedim Biotech</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-4.18%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-1.65%</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TUB BB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Financiere de Tubize SA</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-3.92%</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-4.54%</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BOL FP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Bollore SE</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-3.68%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-0.36%</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FTK GY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flatexDEGIRO SE</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금융</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-3.52%</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+0.95%</w:t>
            </w:r>
          </w:p>
        </w:tc>
      </w:tr>
      <w:tr>
        <w:trPr>
          <w:cantSplit/>
          <w:tblHeader w:val="false"/>
        </w:trPr>
        <w:tc>
          <w:tcPr>
            <w:tcW w:type="dxa" w:w="5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RHM GY Equity</w:t>
            </w:r>
          </w:p>
        </w:tc>
        <w:tc>
          <w:tcPr>
            <w:tcW w:type="dxa" w:w="33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Rheinmetall AG</w:t>
            </w:r>
          </w:p>
        </w:tc>
        <w:tc>
          <w:tcPr>
            <w:tcW w:type="dxa" w:w="15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-3.38%</w:t>
            </w:r>
          </w:p>
        </w:tc>
        <w:tc>
          <w:tcPr>
            <w:tcW w:type="dxa" w:w="1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-10.51%</w:t>
            </w:r>
          </w:p>
        </w:tc>
      </w:tr>
      <w:tr>
        <w:trPr>
          <w:cantSplit/>
          <w:tblHeader w:val="false"/>
        </w:trPr>
        <w:tc>
          <w:tcPr>
            <w:tcW w:type="dxa" w:w="5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ENI IM Equity</w:t>
            </w:r>
          </w:p>
        </w:tc>
        <w:tc>
          <w:tcPr>
            <w:tcW w:type="dxa" w:w="33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Eni SpA</w:t>
            </w:r>
          </w:p>
        </w:tc>
        <w:tc>
          <w:tcPr>
            <w:tcW w:type="dxa" w:w="15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-3.29%</w:t>
            </w:r>
          </w:p>
        </w:tc>
        <w:tc>
          <w:tcPr>
            <w:tcW w:type="dxa" w:w="1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-4.41%</w:t>
            </w:r>
          </w:p>
        </w:tc>
      </w:tr>
    </w:tbl>
    <w:p>
      <w:pPr>
        <w:spacing w:after="60"/>
      </w:pPr>
      <w:r>
        <w:rPr>
          <w:rFonts w:ascii="Malgun Gothic" w:cs="Malgun Gothic" w:eastAsia="Malgun Gothic" w:hAnsi="Malgun Gothic"/>
          <w:sz w:val="21"/>
          <w:szCs w:val="21"/>
        </w:rPr>
        <w:t xml:space="preserve"/>
      </w:r>
    </w:p>
    <w:p>
      <w:pPr>
        <w:keepNext/>
        <w:spacing w:after="80" w:before="170"/>
      </w:pPr>
      <w:r>
        <w:rPr>
          <w:rFonts w:ascii="Malgun Gothic" w:cs="Malgun Gothic" w:eastAsia="Malgun Gothic" w:hAnsi="Malgun Gothic"/>
          <w:b/>
          <w:bCs/>
          <w:color w:val="17365D"/>
          <w:sz w:val="21"/>
          <w:szCs w:val="21"/>
        </w:rPr>
        <w:t xml:space="preserve">모든 섹터 — 어디에 강세·약세가 몰렸나</w:t>
      </w:r>
    </w:p>
    <w:tbl>
      <w:tblPr>
        <w:tblW w:type="dxa" w:w="10380"/>
        <w:tblBorders>
          <w:top w:val="single" w:color="DBE4ED" w:sz="4"/>
          <w:left w:val="none" w:sz="0"/>
          <w:bottom w:val="single" w:color="DBE4ED" w:sz="4"/>
          <w:right w:val="none" w:sz="0"/>
          <w:insideH w:val="single" w:color="DBE4ED" w:sz="3"/>
          <w:insideV w:val="none" w:sz="0"/>
        </w:tblBorders>
      </w:tblPr>
      <w:tblGrid>
        <w:gridCol w:w="2500"/>
        <w:gridCol w:w="1576"/>
        <w:gridCol w:w="1576"/>
        <w:gridCol w:w="1576"/>
        <w:gridCol w:w="1576"/>
        <w:gridCol w:w="1576"/>
      </w:tblGrid>
      <w:tr>
        <w:trPr>
          <w:cantSplit/>
          <w:tblHeader/>
        </w:trPr>
        <w:tc>
          <w:tcPr>
            <w:tcW w:type="dxa" w:w="25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섹터</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전체 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하위100 내</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가중 참고치</w:t>
            </w:r>
          </w:p>
        </w:tc>
        <w:tc>
          <w:tcPr>
            <w:tcW w:type="dxa" w:w="1576"/>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상승 비율</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IT</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16</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65.6%</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유틸리티</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32</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81.2%</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필수소비재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44</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+0.41%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70.5%</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경기소비재</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58</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+0.39%</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70.7%</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산업재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60.0%</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부동산</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27</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51.9%</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소재</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47</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13</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53.2%</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금융</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126</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17</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+0.01%</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52.4%</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커뮤니케이션</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29</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-0.60%</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20.7%</w:t>
            </w:r>
          </w:p>
        </w:tc>
      </w:tr>
      <w:tr>
        <w:trPr>
          <w:cantSplit/>
          <w:tblHeader w:val="false"/>
        </w:trPr>
        <w:tc>
          <w:tcPr>
            <w:tcW w:type="dxa" w:w="25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에너지</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-0.90%</w:t>
            </w:r>
          </w:p>
        </w:tc>
        <w:tc>
          <w:tcPr>
            <w:tcW w:type="dxa" w:w="1576"/>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33.3%</w:t>
            </w:r>
          </w:p>
        </w:tc>
      </w:tr>
      <w:tr>
        <w:trPr>
          <w:cantSplit/>
          <w:tblHeader w:val="false"/>
        </w:trPr>
        <w:tc>
          <w:tcPr>
            <w:tcW w:type="dxa" w:w="25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헬스케어</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46</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25</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-1.21%</w:t>
            </w:r>
          </w:p>
        </w:tc>
        <w:tc>
          <w:tcPr>
            <w:tcW w:type="dxa" w:w="1576"/>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8.7%</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다음 거래일에 확인할 세 가지</w:t>
      </w:r>
    </w:p>
    <w:p>
      <w:pPr>
        <w:spacing w:after="150" w:line="310"/>
      </w:pPr>
      <w:r>
        <w:rPr>
          <w:rFonts w:ascii="Malgun Gothic" w:cs="Malgun Gothic" w:eastAsia="Malgun Gothic" w:hAnsi="Malgun Gothic"/>
          <w:sz w:val="21"/>
          <w:szCs w:val="21"/>
        </w:rPr>
        <w:t xml:space="preserve">① 미국: 저장장치·광통신의 강세가 Nvidia·하이퍼스케일러까지 연결되는가. ② 중국: 소비·게임의 상승 폭이 유지되는 가운데 서버·광모듈 약세가 멈추는가. ③ 유럽: Soitec처럼 구체적인 상향 근거가 있는 하드웨어와 단순 반등 종목의 성과가 벌어지는가. 방향 예측보다 이 세 가지의 연속성을 먼저 확인한다.</w:t>
      </w:r>
    </w:p>
    <w:p>
      <w:pPr>
        <w:pStyle w:val="Heading1"/>
        <w:keepNext/>
        <w:spacing w:after="150" w:before="320"/>
      </w:pPr>
      <w:r>
        <w:rPr>
          <w:rFonts w:ascii="Malgun Gothic" w:cs="Malgun Gothic" w:eastAsia="Malgun Gothic" w:hAnsi="Malgun Gothic"/>
          <w:b/>
          <w:bCs/>
          <w:color w:val="17365D"/>
          <w:sz w:val="28"/>
          <w:szCs w:val="28"/>
        </w:rPr>
        <w:t xml:space="preserve">계산·데이터 확인</w:t>
      </w:r>
    </w:p>
    <w:p>
      <w:pPr>
        <w:spacing w:after="150" w:line="310"/>
      </w:pPr>
      <w:r>
        <w:rPr>
          <w:rFonts w:ascii="Malgun Gothic" w:cs="Malgun Gothic" w:eastAsia="Malgun Gothic" w:hAnsi="Malgun Gothic"/>
          <w:sz w:val="21"/>
          <w:szCs w:val="21"/>
        </w:rPr>
        <w:t xml:space="preserve">작성일은 2026-09-07, 가격 기준일은 2026-09-04다. 신규 파일의 9월 5~7일 가격은 해당 4개 분석 지수에서 전 행 대비 변화가 없어 신규 거래일로 취급하지 않았다. 1D=9/3→9/4, 10거래일=8/21→9/4, AI 1주=8/28→9/4, 1개월=8/4→9/4, 3개월=6/4→9/4. 연율화하지 않았다.</w:t>
      </w:r>
    </w:p>
    <w:p>
      <w:pPr>
        <w:spacing w:after="150" w:line="310"/>
      </w:pPr>
      <w:r>
        <w:rPr>
          <w:rFonts w:ascii="Malgun Gothic" w:cs="Malgun Gothic" w:eastAsia="Malgun Gothic" w:hAnsi="Malgun Gothic"/>
          <w:sz w:val="21"/>
          <w:szCs w:val="21"/>
        </w:rPr>
        <w:t xml:space="preserve">종목 수익률은 제공 가격의 기말/기초−1이며 배당을 별도로 더하지 않았다. 종목 비교는 현지통화 기준이다. 현재 제공 구성종목을 과거에도 적용하므로 공식 과거 구성종목 지수나 편입·편출을 반영한 백테스트가 아니다.</w:t>
      </w:r>
    </w:p>
    <w:p>
      <w:pPr>
        <w:spacing w:after="150" w:line="310"/>
      </w:pPr>
      <w:r>
        <w:rPr>
          <w:rFonts w:ascii="Malgun Gothic" w:cs="Malgun Gothic" w:eastAsia="Malgun Gothic" w:hAnsi="Malgun Gothic"/>
          <w:sz w:val="21"/>
          <w:szCs w:val="21"/>
        </w:rPr>
        <w:t xml:space="preserve">시장·섹터의 시총가중 수익률은 전일 전체 시총을 가중치로 계산한 참고치다. 유동주식 비율, 상한, 공식 지수 제수와 환산통화를 반영하지 않아 공식 지수 수익률과 다르다. 특히 STOXX 600의 시총 원천 통화가 혼합돼 있어 섹터 가중 결과는 근사치다. 보고서의 공식 지수 종가는 기사와 분리해 표시했다.</w:t>
      </w:r>
    </w:p>
    <w:p>
      <w:pPr>
        <w:spacing w:after="150" w:line="310"/>
      </w:pPr>
      <w:r>
        <w:rPr>
          <w:rFonts w:ascii="Malgun Gothic" w:cs="Malgun Gothic" w:eastAsia="Malgun Gothic" w:hAnsi="Malgun Gothic"/>
          <w:sz w:val="21"/>
          <w:szCs w:val="21"/>
        </w:rPr>
        <w:t xml:space="preserve">AI는 기존 S&amp;P 500 확장 분류(Core + Adjacent) 73개를 유지했다. APH는 3개월 구간의 가격 조정 불연속 후보로 수익률 산출에서 제외해 유효 72개, 12개 단계다. 분류 자체에는 APH의 역할을 남겼다. 외부 비상장기업·비구성종목을 임의로 추가하지 않았다.</w:t>
      </w:r>
    </w:p>
    <w:p>
      <w:pPr>
        <w:spacing w:after="150" w:line="310"/>
      </w:pPr>
      <w:r>
        <w:rPr>
          <w:rFonts w:ascii="Malgun Gothic" w:cs="Malgun Gothic" w:eastAsia="Malgun Gothic" w:hAnsi="Malgun Gothic"/>
          <w:sz w:val="21"/>
          <w:szCs w:val="21"/>
        </w:rPr>
        <w:t xml:space="preserve">AI 단계 수익률은 종목의 일일 단순수익률을 동일가중한 뒤 일별 복리 누적했다. 주가 절대값의 평균이 아니다. 표의 1D 기여도는 종목 1D 수익률/그 단계 유효 종목 수이며 합계가 단계 1D 수익률과 일치한다. 여러 기간의 종목 수익률을 단순 평균한 값은 일일 재조정 바스켓 누적수익률과 같지 않으므로 다기간 기여도로 표시하지 않았다.</w:t>
      </w:r>
    </w:p>
    <w:p>
      <w:pPr>
        <w:spacing w:after="150" w:line="310"/>
      </w:pPr>
      <w:r>
        <w:rPr>
          <w:rFonts w:ascii="Malgun Gothic" w:cs="Malgun Gothic" w:eastAsia="Malgun Gothic" w:hAnsi="Malgun Gothic"/>
          <w:sz w:val="21"/>
          <w:szCs w:val="21"/>
        </w:rPr>
        <w:t xml:space="preserve">상승 비율은 가격 상승 종목 수/해당 기간 유효 종목 수다. EPS revision breadth나 애널리스트 추정치 상향 비율이 아니다. 이번 보고서는 주가 로테이션 보고서이며 가격 움직임을 이익 추정치 상향으로 바꾸어 서술하지 않았다.</w:t>
      </w:r>
    </w:p>
    <w:p>
      <w:pPr>
        <w:spacing w:after="150" w:line="310"/>
      </w:pPr>
      <w:r>
        <w:rPr>
          <w:rFonts w:ascii="Malgun Gothic" w:cs="Malgun Gothic" w:eastAsia="Malgun Gothic" w:hAnsi="Malgun Gothic"/>
          <w:sz w:val="21"/>
          <w:szCs w:val="21"/>
        </w:rPr>
        <w:t xml:space="preserve">Top/Bottom 100은 시장마다 각 100개다. 1D 순위를 기본으로 하고 10거래일 순위를 별도로 제공한다. 미수익률을 0으로 채우지 않았다. S&amp;P 500 503개, CSI 300 300개, STOXX 600 600개 모두 1D·10D 계산에 필요한 가격이 있다.</w:t>
      </w:r>
    </w:p>
    <w:p>
      <w:pPr>
        <w:spacing w:after="150" w:line="310"/>
      </w:pPr>
      <w:r>
        <w:rPr>
          <w:rFonts w:ascii="Malgun Gothic" w:cs="Malgun Gothic" w:eastAsia="Malgun Gothic" w:hAnsi="Malgun Gothic"/>
          <w:sz w:val="21"/>
          <w:szCs w:val="21"/>
        </w:rPr>
        <w:t xml:space="preserve">뉴스는 이 작업에서 웹 검색으로 확인했다. 명시된 회사 이벤트 외의 순위·동반 움직임·지속성 평가는 제공 가격에서 도출한 해석이다. 모든 1,403개 종목의 뉴스를 전수 확인한 것은 아니다. API 키를 사용하는 유료 모델 호출은 하지 않았다.</w:t>
      </w:r>
    </w:p>
    <w:p>
      <w:pPr>
        <w:spacing w:after="150" w:line="310"/>
      </w:pPr>
      <w:r>
        <w:rPr>
          <w:rFonts w:ascii="Malgun Gothic" w:cs="Malgun Gothic" w:eastAsia="Malgun Gothic" w:hAnsi="Malgun Gothic"/>
          <w:sz w:val="21"/>
          <w:szCs w:val="21"/>
        </w:rPr>
        <w:t xml:space="preserve">1D·10거래일별 Top/Bottom 100 전체 12개 표는 함께 제공한 HTML 하단과 Daily_Tables_20260907.xlsx에 수록했다. 이 문서는 본문용 상·하위 10개 및 모든 섹터 설명을 싣는다.</w:t>
      </w:r>
    </w:p>
    <w:sectPr>
      <w:footerReference w:type="default" r:id="rId7"/>
      <w:pgSz w:w="11906" w:h="16838" w:orient="portrait"/>
      <w:pgMar w:top="850" w:right="763" w:bottom="850" w:left="7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64758B"/>
        <w:sz w:val="16"/>
        <w:szCs w:val="16"/>
      </w:rPr>
      <w:t xml:space="preserve">2026.09.07 · 가격 2026.09.04  |  </w:t>
    </w:r>
    <w:r>
      <w:rPr>
        <w:rFonts w:ascii="Malgun Gothic" w:cs="Malgun Gothic" w:eastAsia="Malgun Gothic" w:hAnsi="Malgun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after="150"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kp-mlh1qfkjuyes7jcdh" Type="http://schemas.openxmlformats.org/officeDocument/2006/relationships/hyperlink" Target="https://apnews.com/article/stock-market-dow-nasdaq-jobs-ebc11cfa2cf8baf4491bf3d4199c1d74" TargetMode="External"/><Relationship Id="rIdpzqooo1vkblx404fjcfvp" Type="http://schemas.openxmlformats.org/officeDocument/2006/relationships/hyperlink" Target="https://www.investing.com/news/stock-market-news/why-is-fair-isaac-stock-sliding-today-93CH-4889420" TargetMode="External"/><Relationship Id="rIddao2zntauw-gbaolfslwy" Type="http://schemas.openxmlformats.org/officeDocument/2006/relationships/hyperlink" Target="https://news.adobe.com/ja/news/2026/09/20260904-adobe-ceo-announcement" TargetMode="External"/><Relationship Id="rIdvas1_b4gidnrbvwuvxuoi" Type="http://schemas.openxmlformats.org/officeDocument/2006/relationships/hyperlink" Target="https://corporate.lululemon.com/newsroom/press-releases/2026/09-03-2026-210528733" TargetMode="External"/><Relationship Id="rId1jv30luyfixihtulhctqv" Type="http://schemas.openxmlformats.org/officeDocument/2006/relationships/hyperlink" Target="https://economia.uol.com.br/noticias/reuters/2026/09/04/acoes-da-china-encerram-semana-em-baixa-com-perda-de-forca-da-alta-por-ia.htm" TargetMode="External"/><Relationship Id="rIdvlnkypmip-ba_vhwbekr7" Type="http://schemas.openxmlformats.org/officeDocument/2006/relationships/hyperlink" Target="https://www.cnfin.com/yw-lb/detail/20260904/4465240_1.html" TargetMode="External"/><Relationship Id="rIdy0pcmo3lht4jdpqb1jjph" Type="http://schemas.openxmlformats.org/officeDocument/2006/relationships/hyperlink" Target="https://finance.eastmoney.com/a/202609023863027532.html" TargetMode="External"/><Relationship Id="rIdcn9xq_abtdrueoeh7ioga" Type="http://schemas.openxmlformats.org/officeDocument/2006/relationships/hyperlink" Target="https://in.marketscreener.com/news/european-shares-log-weekly-losses-on-inflation-worries-volkswagen-jumps-ce785bdbd98cf522" TargetMode="External"/><Relationship Id="rIdzh0rx1nalryoknppnod01" Type="http://schemas.openxmlformats.org/officeDocument/2006/relationships/hyperlink" Target="https://rss.globenewswire.com/news-release/2026/09/02/3355388/0/en/soitec-trading-update.html" TargetMode="External"/><Relationship Id="rIdnkarwmeus4idesx3kv8p4" Type="http://schemas.openxmlformats.org/officeDocument/2006/relationships/hyperlink" Target="https://in.marketscreener.com/news/european-shares-log-weekly-losses-on-inflation-worries-volkswagen-jumps-ce785bdbd98cf522"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미국·중국·유럽 데일리 시황</dc:title>
  <dc:creator>Research</dc:creator>
  <cp:lastModifiedBy>Un-named</cp:lastModifiedBy>
  <cp:revision>1</cp:revision>
  <dcterms:created xsi:type="dcterms:W3CDTF">2026-09-07T07:34:29.728Z</dcterms:created>
  <dcterms:modified xsi:type="dcterms:W3CDTF">2026-09-07T07:34:29.729Z</dcterms:modified>
</cp:coreProperties>
</file>

<file path=docProps/custom.xml><?xml version="1.0" encoding="utf-8"?>
<Properties xmlns="http://schemas.openxmlformats.org/officeDocument/2006/custom-properties" xmlns:vt="http://schemas.openxmlformats.org/officeDocument/2006/docPropsVTypes"/>
</file>