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02A43"/>
          <w:sz w:val="42"/>
          <w:szCs w:val="42"/>
        </w:rPr>
        <w:t xml:space="preserve">S&amp;P 500·CSI 300·STOXX Europe 600</w:t>
      </w:r>
    </w:p>
    <w:p>
      <w:pPr>
        <w:spacing w:after="170"/>
      </w:pPr>
      <w:r>
        <w:rPr>
          <w:rFonts w:ascii="Malgun Gothic" w:cs="Malgun Gothic" w:eastAsia="Malgun Gothic" w:hAnsi="Malgun Gothic"/>
          <w:b/>
          <w:bCs/>
          <w:color w:val="2F6BDE"/>
          <w:sz w:val="36"/>
          <w:szCs w:val="36"/>
        </w:rPr>
        <w:t xml:space="preserve">최근 10거래일 Best / Worst 10</w:t>
      </w:r>
    </w:p>
    <w:p>
      <w:pPr>
        <w:spacing w:after="280" w:before="0" w:line="270"/>
      </w:pPr>
      <w:r>
        <w:rPr>
          <w:rFonts w:ascii="Malgun Gothic" w:cs="Malgun Gothic" w:eastAsia="Malgun Gothic" w:hAnsi="Malgun Gothic"/>
          <w:color w:val="62748A"/>
          <w:sz w:val="24"/>
          <w:szCs w:val="24"/>
        </w:rPr>
        <w:t xml:space="preserve">최신 BQuant 가격으로 자동 갱신되는 시장 내부 로테이션 모니터</w:t>
      </w:r>
    </w:p>
    <w:p>
      <w:pPr>
        <w:spacing w:after="95" w:before="0" w:line="270"/>
      </w:pPr>
      <w:r>
        <w:rPr>
          <w:rFonts w:ascii="Malgun Gothic" w:cs="Malgun Gothic" w:eastAsia="Malgun Gothic" w:hAnsi="Malgun Gothic"/>
          <w:color w:val="62748A"/>
          <w:sz w:val="18"/>
          <w:szCs w:val="18"/>
        </w:rPr>
        <w:t xml:space="preserve">기준일 2026-09-09 · 미국 2026-08-25→2026-09-09 · 중국 2026-08-26→2026-09-09 · 유럽 2026-08-26→2026-09-09 · 배당 미포함 현지통화 가격수익률</w:t>
      </w:r>
    </w:p>
    <w:p>
      <w:r>
        <w:br w:type="page"/>
      </w:r>
    </w:p>
    <w:p>
      <w:pPr>
        <w:pStyle w:val="Heading1"/>
        <w:keepNext/>
        <w:spacing w:after="110" w:before="220"/>
      </w:pPr>
      <w:r>
        <w:rPr>
          <w:rFonts w:ascii="Malgun Gothic" w:cs="Malgun Gothic" w:eastAsia="Malgun Gothic" w:hAnsi="Malgun Gothic"/>
          <w:b/>
          <w:bCs/>
          <w:color w:val="102A43"/>
          <w:sz w:val="32"/>
          <w:szCs w:val="32"/>
        </w:rPr>
        <w:t xml:space="preserve">Executive Summary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입력 파일에서 지수별 최신 유효 거래일을 찾고, 직전 값 반복일과 휴일을 제외한 최근 11개 종가 사이의 10거래일 수익률로 순위를 계산했다. 미국 2026-08-25→2026-09-09 · 중국 2026-08-26→2026-09-09 · 유럽 2026-08-26→2026-09-09.</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최신 유효 거래일 2026-09-09까지의 최근 10거래일 기준이다. 상위 10개는 Information Technology 7개, Energy 2개, 하위 10개는 Consumer Discretionary 3개, Utilities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최신 유효 거래일 2026-09-09까지의 최근 10거래일 기준이다. 상위 10개는 Communication Services 3개, Information Technology 3개, 하위 10개는 Industrials 6개, Information Technology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최신 유효 거래일 2026-09-09까지의 최근 10거래일 기준이다. 상위 10개는 Energy 4개, Information Technology 2개, 하위 10개는 Industrials 6개, Health Care 1개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순위와 섹터 집중도는 자동 갱신되지만 기업별 촉매는 자동 확정하지 않는다. [DATA]로 표시된 종목은 최신 공시·뉴스를 별도로 확인해야 한다.</w:t>
      </w:r>
    </w:p>
    <w:p>
      <w:r>
        <w:br w:type="page"/>
      </w:r>
    </w:p>
    <w:p>
      <w:pPr>
        <w:pStyle w:val="Heading1"/>
        <w:keepNext/>
        <w:spacing w:after="110" w:before="220"/>
      </w:pPr>
      <w:r>
        <w:rPr>
          <w:rFonts w:ascii="Malgun Gothic" w:cs="Malgun Gothic" w:eastAsia="Malgun Gothic" w:hAnsi="Malgun Gothic"/>
          <w:b/>
          <w:bCs/>
          <w:color w:val="102A43"/>
          <w:sz w:val="32"/>
          <w:szCs w:val="32"/>
        </w:rPr>
        <w:t xml:space="preserve">미국 · S&amp;P 500</w:t>
      </w:r>
    </w:p>
    <w:p>
      <w:pPr>
        <w:spacing w:after="95" w:before="0" w:line="270"/>
      </w:pPr>
      <w:r>
        <w:rPr>
          <w:rFonts w:ascii="Malgun Gothic" w:cs="Malgun Gothic" w:eastAsia="Malgun Gothic" w:hAnsi="Malgun Gothic"/>
          <w:color w:val="62748A"/>
          <w:sz w:val="17"/>
          <w:szCs w:val="17"/>
        </w:rPr>
        <w:t xml:space="preserve">2026-08-25 → 2026-09-09 · 503개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2026-09-09까지의 최근 10거래일 기준이다. 상위 10개는 Information Technology 7개, Energy 2개, 하위 10개는 Consumer Discretionary 3개, Utilities 2개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0개,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미국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INTC UW · Intel Corp</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+21.4%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SNDK UW · Sandisk Corp</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+19.1%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CRM UN · Salesforce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+18.7%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DELL UN · Dell Technologies Inc</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+18.5%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SWKS UW · Skyworks Solutions Inc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+16.5%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META UW · Meta Platforms Inc</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GLW UN · Corning Inc</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VLO UN · Valero Energy Corp</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MPC UN · Marathon Petroleum Corp</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CRWD UW · Crowdstrike Holdings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미국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CASY UW · Casey's General Stores Inc</w:t>
            </w:r>
          </w:p>
          <w:p>
            <w:pPr>
              <w:spacing w:after="0" w:line="190"/>
            </w:pPr>
            <w:r>
              <w:rPr>
                <w:rFonts w:ascii="Malgun Gothic" w:cs="Malgun Gothic" w:eastAsia="Malgun Gothic" w:hAnsi="Malgun Gothic"/>
                <w:color w:val="62748A"/>
                <w:sz w:val="13"/>
                <w:szCs w:val="13"/>
              </w:rPr>
              <w:t xml:space="preserve">Consumer Staples / Consumer Staples Distribution &amp; Retail</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-23.7%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Staples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EIX UN · Edison International</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-23.2%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Utilities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PCG UN · PG&amp;E Corp</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-22.7%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Utilities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AXON UW · Axon Enterprise Inc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-20.1%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EXPE UW · Expedia Group Inc</w:t>
            </w:r>
          </w:p>
          <w:p>
            <w:pPr>
              <w:spacing w:after="0" w:line="190"/>
            </w:pPr>
            <w:r>
              <w:rPr>
                <w:rFonts w:ascii="Malgun Gothic" w:cs="Malgun Gothic" w:eastAsia="Malgun Gothic" w:hAnsi="Malgun Gothic"/>
                <w:color w:val="62748A"/>
                <w:sz w:val="13"/>
                <w:szCs w:val="13"/>
              </w:rPr>
              <w:t xml:space="preserve">Consumer Discretionary / Consumer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-19.3%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Discretionary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BKNG UW · Booking Holdings Inc</w:t>
            </w:r>
          </w:p>
          <w:p>
            <w:pPr>
              <w:spacing w:after="0" w:line="190"/>
            </w:pPr>
            <w:r>
              <w:rPr>
                <w:rFonts w:ascii="Malgun Gothic" w:cs="Malgun Gothic" w:eastAsia="Malgun Gothic" w:hAnsi="Malgun Gothic"/>
                <w:color w:val="62748A"/>
                <w:sz w:val="13"/>
                <w:szCs w:val="13"/>
              </w:rPr>
              <w:t xml:space="preserve">Consumer Discretionary / Consumer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-18.9%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Discretionary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ADSK UW · Autodesk Inc</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-17.8%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SYK UN · Stryker Corp</w:t>
            </w:r>
          </w:p>
          <w:p>
            <w:pPr>
              <w:spacing w:after="0" w:line="190"/>
            </w:pPr>
            <w:r>
              <w:rPr>
                <w:rFonts w:ascii="Malgun Gothic" w:cs="Malgun Gothic" w:eastAsia="Malgun Gothic" w:hAnsi="Malgun Gothic"/>
                <w:color w:val="62748A"/>
                <w:sz w:val="13"/>
                <w:szCs w:val="13"/>
              </w:rPr>
              <w:t xml:space="preserve">Health Care / Health Care Equipment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-16.7%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Health Care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PYPL UW · PayPal Holdings Inc</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-16.2%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Financials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LULU UW · Lululemon Athletica Inc</w:t>
            </w:r>
          </w:p>
          <w:p>
            <w:pPr>
              <w:spacing w:after="0" w:line="190"/>
            </w:pPr>
            <w:r>
              <w:rPr>
                <w:rFonts w:ascii="Malgun Gothic" w:cs="Malgun Gothic" w:eastAsia="Malgun Gothic" w:hAnsi="Malgun Gothic"/>
                <w:color w:val="62748A"/>
                <w:sz w:val="13"/>
                <w:szCs w:val="13"/>
              </w:rPr>
              <w:t xml:space="preserve">Consumer Discretionary / Consumer Durables &amp; Apparel</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-15.7%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Discretionary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중국 · CSI 300</w:t>
      </w:r>
    </w:p>
    <w:p>
      <w:pPr>
        <w:spacing w:after="95" w:before="0" w:line="270"/>
      </w:pPr>
      <w:r>
        <w:rPr>
          <w:rFonts w:ascii="Malgun Gothic" w:cs="Malgun Gothic" w:eastAsia="Malgun Gothic" w:hAnsi="Malgun Gothic"/>
          <w:color w:val="62748A"/>
          <w:sz w:val="17"/>
          <w:szCs w:val="17"/>
        </w:rPr>
        <w:t xml:space="preserve">2026-08-26 → 2026-09-09 · 300개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2026-09-09까지의 최근 10거래일 기준이다. 상위 10개는 Communication Services 3개, Information Technology 3개, 하위 10개는 Industrials 6개, Information Technology 3개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0개,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중국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300413 CH · Mango Excellent Media Co Ltd</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+31.6%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688183 CH · Shengyi Electronics Co Ltd</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+20.7%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600150 CH · China CSSC Holdings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000768 CH · AVIC Xi'an Aircraft Industry 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600026 CH · COSCO SHIPPING Energy Transpor</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300418 CH · Kunlun Tech Co Ltd</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+15.1%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601872 CH · China Merchants Energy Shippin</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600183 CH · Shengyi Technology Co Ltd</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+14.0%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002602 CH · Zhejiang Century Huatong Group</w:t>
            </w:r>
          </w:p>
          <w:p>
            <w:pPr>
              <w:spacing w:after="0" w:line="190"/>
            </w:pPr>
            <w:r>
              <w:rPr>
                <w:rFonts w:ascii="Malgun Gothic" w:cs="Malgun Gothic" w:eastAsia="Malgun Gothic" w:hAnsi="Malgun Gothic"/>
                <w:color w:val="62748A"/>
                <w:sz w:val="13"/>
                <w:szCs w:val="13"/>
              </w:rPr>
              <w:t xml:space="preserve">Communication Services / Media &amp; Entertainment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Communication Services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302132 CH · Avic Chengdu Aircraft Co Ltd</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+13.0%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중국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300274 CH · Sungrow Power Supply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-22.7%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002028 CH · Sieyuan Electric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-18.7%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688472 CH · CSI Solar Co Ltd</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-15.9%</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605117 CH · Ningbo Deye Technology Corp</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-14.8%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300750 CH · Contemporary Amperex Technolog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688506 CH · Sichuan Biokin Pharmaceutical</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Health Care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300014 CH · Eve Energy Co Ltd</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300433 CH · Lens Technology Co Ltd</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-10.0%</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300124 CH · Shenzhen Inovance Technology C</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-9.7%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688012 CH · Advanced Micro-Fabrication Equ</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-9.5%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유럽 · STOXX Europe 600</w:t>
      </w:r>
    </w:p>
    <w:p>
      <w:pPr>
        <w:spacing w:after="95" w:before="0" w:line="270"/>
      </w:pPr>
      <w:r>
        <w:rPr>
          <w:rFonts w:ascii="Malgun Gothic" w:cs="Malgun Gothic" w:eastAsia="Malgun Gothic" w:hAnsi="Malgun Gothic"/>
          <w:color w:val="62748A"/>
          <w:sz w:val="17"/>
          <w:szCs w:val="17"/>
        </w:rPr>
        <w:t xml:space="preserve">2026-08-26 → 2026-09-09 · 600개 구성종목 · 배당 미포함 현지통화 가격수익률</w:t>
      </w:r>
    </w:p>
    <w:p>
      <w:pPr>
        <w:spacing w:after="90" w:before="70"/>
        <w:jc w:val="center"/>
      </w:pPr>
      <w:r>
        <w:drawing>
          <wp:inline distT="0" distB="0" distL="0" distR="0">
            <wp:extent cx="838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3848100"/>
                    </a:xfrm>
                    <a:prstGeom prst="rect">
                      <a:avLst/>
                    </a:prstGeom>
                  </pic:spPr>
                </pic:pic>
              </a:graphicData>
            </a:graphic>
          </wp:inline>
        </w:drawing>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최신 유효 거래일 2026-09-09까지의 최근 10거래일 기준이다. 상위 10개는 Energy 4개, Information Technology 2개, 하위 10개는 Industrials 6개, Health Care 1개 비중이 두드러졌다. 성과 원인은 가격·섹터 분포에서 자동 집계했으며 기업별 최신 촉매는 별도 검증이 필요하다.</w:t>
      </w:r>
    </w:p>
    <w:p>
      <w:pPr>
        <w:spacing w:after="95" w:before="0" w:line="270"/>
      </w:pPr>
      <w:r>
        <w:rPr>
          <w:rFonts w:ascii="Malgun Gothic" w:cs="Malgun Gothic" w:eastAsia="Malgun Gothic" w:hAnsi="Malgun Gothic"/>
          <w:b/>
          <w:bCs/>
          <w:color w:val="0FA3A3"/>
          <w:sz w:val="17"/>
          <w:szCs w:val="17"/>
        </w:rPr>
        <w:t xml:space="preserve">[DATA] </w:t>
      </w:r>
      <w:r>
        <w:rPr>
          <w:rFonts w:ascii="Malgun Gothic" w:cs="Malgun Gothic" w:eastAsia="Malgun Gothic" w:hAnsi="Malgun Gothic"/>
          <w:color w:val="102A43"/>
          <w:sz w:val="17"/>
          <w:szCs w:val="17"/>
        </w:rPr>
        <w:t xml:space="preserve">현재 분석창에서 직접 확인된 과거 기업별 촉매가 연결된 항목은 상위 0개, 하위 0개다. [DATA] 항목은 가격 순위만 자동 갱신된 것이므로 최신 공시·뉴스를 확인하기 전에는 원인을 단정하지 않는다.</w:t>
      </w:r>
    </w:p>
    <w:p>
      <w:r>
        <w:br w:type="page"/>
      </w:r>
    </w:p>
    <w:p>
      <w:pPr>
        <w:pStyle w:val="Heading2"/>
        <w:keepNext/>
        <w:spacing w:after="110" w:before="150"/>
      </w:pPr>
      <w:r>
        <w:rPr>
          <w:rFonts w:ascii="Malgun Gothic" w:cs="Malgun Gothic" w:eastAsia="Malgun Gothic" w:hAnsi="Malgun Gothic"/>
          <w:b/>
          <w:bCs/>
          <w:color w:val="2F6BDE"/>
          <w:sz w:val="25"/>
          <w:szCs w:val="25"/>
        </w:rPr>
        <w:t xml:space="preserve">유럽 Best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SOI FP · SOITEC</w:t>
            </w:r>
          </w:p>
          <w:p>
            <w:pPr>
              <w:spacing w:after="0" w:line="190"/>
            </w:pPr>
            <w:r>
              <w:rPr>
                <w:rFonts w:ascii="Malgun Gothic" w:cs="Malgun Gothic" w:eastAsia="Malgun Gothic" w:hAnsi="Malgun Gothic"/>
                <w:color w:val="62748A"/>
                <w:sz w:val="13"/>
                <w:szCs w:val="13"/>
              </w:rPr>
              <w:t xml:space="preserve">Information Technology / Semiconductors &amp; Semiconductor Equipment</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+33.6%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ATS AV · AT&amp;S Austria Technologie &amp; Sys</w:t>
            </w:r>
          </w:p>
          <w:p>
            <w:pPr>
              <w:spacing w:after="0" w:line="190"/>
            </w:pPr>
            <w:r>
              <w:rPr>
                <w:rFonts w:ascii="Malgun Gothic" w:cs="Malgun Gothic" w:eastAsia="Malgun Gothic" w:hAnsi="Malgun Gothic"/>
                <w:color w:val="62748A"/>
                <w:sz w:val="13"/>
                <w:szCs w:val="13"/>
              </w:rPr>
              <w:t xml:space="preserve">Information Technology / Technology Hardware &amp; Equipment</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+22.6%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Information Technology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FORTUM FH · Fortum Oyj</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+22.2%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Utilities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VOW3 GY · Volkswagen AG</w:t>
            </w:r>
          </w:p>
          <w:p>
            <w:pPr>
              <w:spacing w:after="0" w:line="190"/>
            </w:pPr>
            <w:r>
              <w:rPr>
                <w:rFonts w:ascii="Malgun Gothic" w:cs="Malgun Gothic" w:eastAsia="Malgun Gothic" w:hAnsi="Malgun Gothic"/>
                <w:color w:val="62748A"/>
                <w:sz w:val="13"/>
                <w:szCs w:val="13"/>
              </w:rPr>
              <w:t xml:space="preserve">Consumer Discretionary / Automobiles &amp; Components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Consumer Discretionary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FRO NO · Frontline PLC</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+12.1%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VAR NO · Var Energi ASA</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TGS NO · TGS ASA</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+11.3%</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AKER NO · Aker ASA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+10.8%</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Industrials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TPE PW · Tauron Polska Energia SA</w:t>
            </w:r>
          </w:p>
          <w:p>
            <w:pPr>
              <w:spacing w:after="0" w:line="190"/>
            </w:pPr>
            <w:r>
              <w:rPr>
                <w:rFonts w:ascii="Malgun Gothic" w:cs="Malgun Gothic" w:eastAsia="Malgun Gothic" w:hAnsi="Malgun Gothic"/>
                <w:color w:val="62748A"/>
                <w:sz w:val="13"/>
                <w:szCs w:val="13"/>
              </w:rPr>
              <w:t xml:space="preserve">Utilities / Utilities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+10.5%</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Utilities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EQNR NO · Equinor ASA</w:t>
            </w:r>
          </w:p>
          <w:p>
            <w:pPr>
              <w:spacing w:after="0" w:line="190"/>
            </w:pPr>
            <w:r>
              <w:rPr>
                <w:rFonts w:ascii="Malgun Gothic" w:cs="Malgun Gothic" w:eastAsia="Malgun Gothic" w:hAnsi="Malgun Gothic"/>
                <w:color w:val="62748A"/>
                <w:sz w:val="13"/>
                <w:szCs w:val="13"/>
              </w:rPr>
              <w:t xml:space="preserve">Energy / Energy</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2F6BDE"/>
                <w:sz w:val="15"/>
                <w:szCs w:val="15"/>
              </w:rPr>
              <w:t xml:space="preserve">+9.1%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2F6BDE"/>
                <w:sz w:val="14"/>
                <w:szCs w:val="14"/>
              </w:rPr>
              <w:t xml:space="preserve">Energy · 가격 상위</w:t>
            </w:r>
          </w:p>
          <w:p>
            <w:pPr>
              <w:spacing w:after="0" w:line="215"/>
            </w:pPr>
            <w:r>
              <w:rPr>
                <w:rFonts w:ascii="Malgun Gothic" w:cs="Malgun Gothic" w:eastAsia="Malgun Gothic" w:hAnsi="Malgun Gothic"/>
                <w:color w:val="102A43"/>
                <w:sz w:val="14"/>
                <w:szCs w:val="14"/>
              </w:rPr>
              <w:t xml:space="preserve">2026-09-09 기준 최근 10거래일 수익률 상위 종목이다. 순위는 BQuant 가격으로 자동 계산됐으며 최신 공시·뉴스 기반 촉매 설명은 아직 검증하지 않았다.</w:t>
            </w:r>
          </w:p>
        </w:tc>
      </w:tr>
    </w:tbl>
    <w:p>
      <w:r>
        <w:br w:type="page"/>
      </w:r>
    </w:p>
    <w:p>
      <w:pPr>
        <w:pStyle w:val="Heading2"/>
        <w:keepNext/>
        <w:spacing w:after="110" w:before="150"/>
      </w:pPr>
      <w:r>
        <w:rPr>
          <w:rFonts w:ascii="Malgun Gothic" w:cs="Malgun Gothic" w:eastAsia="Malgun Gothic" w:hAnsi="Malgun Gothic"/>
          <w:b/>
          <w:bCs/>
          <w:color w:val="2F6BDE"/>
          <w:sz w:val="25"/>
          <w:szCs w:val="25"/>
        </w:rPr>
        <w:t xml:space="preserve">유럽 Worst 10</w:t>
      </w:r>
    </w:p>
    <w:tbl>
      <w:tblPr>
        <w:tblW w:type="dxa" w:w="14950"/>
        <w:tblBorders>
          <w:top w:val="single" w:color="auto" w:sz="4"/>
          <w:left w:val="single" w:color="auto" w:sz="4"/>
          <w:bottom w:val="single" w:color="auto" w:sz="4"/>
          <w:right w:val="single" w:color="auto" w:sz="4"/>
          <w:insideH w:val="single" w:color="auto" w:sz="4"/>
          <w:insideV w:val="single" w:color="auto" w:sz="4"/>
        </w:tblBorders>
      </w:tblPr>
      <w:tblGrid>
        <w:gridCol w:w="650"/>
        <w:gridCol w:w="3200"/>
        <w:gridCol w:w="1150"/>
        <w:gridCol w:w="1250"/>
        <w:gridCol w:w="8700"/>
      </w:tblGrid>
      <w:tr>
        <w:trPr>
          <w:tblHeader/>
        </w:trPr>
        <w:tc>
          <w:tcPr>
            <w:tcW w:type="dxa" w:w="6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순위</w:t>
            </w:r>
          </w:p>
        </w:tc>
        <w:tc>
          <w:tcPr>
            <w:tcW w:type="dxa" w:w="32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종목 / 섹터</w:t>
            </w:r>
          </w:p>
        </w:tc>
        <w:tc>
          <w:tcPr>
            <w:tcW w:type="dxa" w:w="11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10D</w:t>
            </w:r>
          </w:p>
        </w:tc>
        <w:tc>
          <w:tcPr>
            <w:tcW w:type="dxa" w:w="125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근거</w:t>
            </w:r>
          </w:p>
        </w:tc>
        <w:tc>
          <w:tcPr>
            <w:tcW w:type="dxa" w:w="8700"/>
            <w:tcBorders>
              <w:top w:val="single" w:color="DCE3EC" w:sz="3"/>
              <w:left w:val="single" w:color="DCE3EC" w:sz="3"/>
              <w:bottom w:val="single" w:color="DCE3EC" w:sz="3"/>
              <w:right w:val="single" w:color="DCE3EC" w:sz="3"/>
            </w:tcBorders>
            <w:shd w:fill="102A43"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FFFFFF"/>
                <w:sz w:val="15"/>
                <w:szCs w:val="15"/>
              </w:rPr>
              <w:t xml:space="preserve">성과 요인 / 부각 테마</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SGO FP · Cie de Saint-Gobain SA</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-13.1%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2</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NOVN SE · Novartis AG</w:t>
            </w:r>
          </w:p>
          <w:p>
            <w:pPr>
              <w:spacing w:after="0" w:line="190"/>
            </w:pPr>
            <w:r>
              <w:rPr>
                <w:rFonts w:ascii="Malgun Gothic" w:cs="Malgun Gothic" w:eastAsia="Malgun Gothic" w:hAnsi="Malgun Gothic"/>
                <w:color w:val="62748A"/>
                <w:sz w:val="13"/>
                <w:szCs w:val="13"/>
              </w:rPr>
              <w:t xml:space="preserve">Health Care / Pharmaceuticals, Biotechnology &amp; Life Sciences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Health Care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3</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CSG NA · CSG NV</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-12.4%</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4</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FHZN SE · Flughafen Zurich AG</w:t>
            </w:r>
          </w:p>
          <w:p>
            <w:pPr>
              <w:spacing w:after="0" w:line="190"/>
            </w:pPr>
            <w:r>
              <w:rPr>
                <w:rFonts w:ascii="Malgun Gothic" w:cs="Malgun Gothic" w:eastAsia="Malgun Gothic" w:hAnsi="Malgun Gothic"/>
                <w:color w:val="62748A"/>
                <w:sz w:val="13"/>
                <w:szCs w:val="13"/>
              </w:rPr>
              <w:t xml:space="preserve">Industrials / Transportation</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-12.1%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5</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BAB LN · Babcock International Group PL</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-11.7%</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6</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SOP FP · Sopra Steria Group</w:t>
            </w:r>
          </w:p>
          <w:p>
            <w:pPr>
              <w:spacing w:after="0" w:line="190"/>
            </w:pPr>
            <w:r>
              <w:rPr>
                <w:rFonts w:ascii="Malgun Gothic" w:cs="Malgun Gothic" w:eastAsia="Malgun Gothic" w:hAnsi="Malgun Gothic"/>
                <w:color w:val="62748A"/>
                <w:sz w:val="13"/>
                <w:szCs w:val="13"/>
              </w:rPr>
              <w:t xml:space="preserve">Information Technology / Software &amp;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-11.6%</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Information Technology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7</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RI FP · Pernod Ricard SA</w:t>
            </w:r>
          </w:p>
          <w:p>
            <w:pPr>
              <w:spacing w:after="0" w:line="190"/>
            </w:pPr>
            <w:r>
              <w:rPr>
                <w:rFonts w:ascii="Malgun Gothic" w:cs="Malgun Gothic" w:eastAsia="Malgun Gothic" w:hAnsi="Malgun Gothic"/>
                <w:color w:val="62748A"/>
                <w:sz w:val="13"/>
                <w:szCs w:val="13"/>
              </w:rPr>
              <w:t xml:space="preserve">Consumer Staples / Food, Beverage &amp; Tobacco</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Consumer Staples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8</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ADYEN NA · Adyen NV</w:t>
            </w:r>
          </w:p>
          <w:p>
            <w:pPr>
              <w:spacing w:after="0" w:line="190"/>
            </w:pPr>
            <w:r>
              <w:rPr>
                <w:rFonts w:ascii="Malgun Gothic" w:cs="Malgun Gothic" w:eastAsia="Malgun Gothic" w:hAnsi="Malgun Gothic"/>
                <w:color w:val="62748A"/>
                <w:sz w:val="13"/>
                <w:szCs w:val="13"/>
              </w:rPr>
              <w:t xml:space="preserve">Financials / Financial Services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-11.2%</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Financials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9</w:t>
            </w:r>
          </w:p>
        </w:tc>
        <w:tc>
          <w:tcPr>
            <w:tcW w:type="dxa" w:w="32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RHM GY · Rheinmetall AG</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FFFFF"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r>
        <w:trPr>
          <w:cantSplit/>
        </w:trPr>
        <w:tc>
          <w:tcPr>
            <w:tcW w:type="dxa" w:w="6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102A43"/>
                <w:sz w:val="15"/>
                <w:szCs w:val="15"/>
              </w:rPr>
              <w:t xml:space="preserve">10</w:t>
            </w:r>
          </w:p>
        </w:tc>
        <w:tc>
          <w:tcPr>
            <w:tcW w:type="dxa" w:w="32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5"/>
            </w:pPr>
            <w:r>
              <w:rPr>
                <w:rFonts w:ascii="Malgun Gothic" w:cs="Malgun Gothic" w:eastAsia="Malgun Gothic" w:hAnsi="Malgun Gothic"/>
                <w:b/>
                <w:bCs/>
                <w:color w:val="102A43"/>
                <w:sz w:val="15"/>
                <w:szCs w:val="15"/>
              </w:rPr>
              <w:t xml:space="preserve">ROCKB DC · ROCKWOOL A/S</w:t>
            </w:r>
          </w:p>
          <w:p>
            <w:pPr>
              <w:spacing w:after="0" w:line="190"/>
            </w:pPr>
            <w:r>
              <w:rPr>
                <w:rFonts w:ascii="Malgun Gothic" w:cs="Malgun Gothic" w:eastAsia="Malgun Gothic" w:hAnsi="Malgun Gothic"/>
                <w:color w:val="62748A"/>
                <w:sz w:val="13"/>
                <w:szCs w:val="13"/>
              </w:rPr>
              <w:t xml:space="preserve">Industrials / Capital Goods</w:t>
            </w:r>
          </w:p>
        </w:tc>
        <w:tc>
          <w:tcPr>
            <w:tcW w:type="dxa" w:w="115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D84A4A"/>
                <w:sz w:val="15"/>
                <w:szCs w:val="15"/>
              </w:rPr>
              <w:t xml:space="preserve">-11.1%</w:t>
            </w:r>
          </w:p>
        </w:tc>
        <w:tc>
          <w:tcPr>
            <w:tcW w:type="dxa" w:w="1250"/>
            <w:tcBorders>
              <w:top w:val="single" w:color="DCE3EC" w:sz="3"/>
              <w:left w:val="single" w:color="DCE3EC" w:sz="3"/>
              <w:bottom w:val="single" w:color="DCE3EC" w:sz="3"/>
              <w:right w:val="single" w:color="DCE3EC" w:sz="3"/>
            </w:tcBorders>
            <w:shd w:fill="FFF4D6" w:val="clear"/>
            <w:tcMar>
              <w:top w:type="dxa" w:w="65"/>
              <w:left w:type="dxa" w:w="75"/>
              <w:bottom w:type="dxa" w:w="65"/>
              <w:right w:type="dxa" w:w="75"/>
            </w:tcMar>
            <w:vAlign w:val="center"/>
          </w:tcPr>
          <w:p>
            <w:pPr>
              <w:spacing w:after="0" w:line="210"/>
              <w:jc w:val="center"/>
            </w:pPr>
            <w:r>
              <w:rPr>
                <w:rFonts w:ascii="Malgun Gothic" w:cs="Malgun Gothic" w:eastAsia="Malgun Gothic" w:hAnsi="Malgun Gothic"/>
                <w:b/>
                <w:bCs/>
                <w:color w:val="9A6700"/>
                <w:sz w:val="14"/>
                <w:szCs w:val="14"/>
              </w:rPr>
              <w:t xml:space="preserve">DATA</w:t>
            </w:r>
          </w:p>
        </w:tc>
        <w:tc>
          <w:tcPr>
            <w:tcW w:type="dxa" w:w="8700"/>
            <w:tcBorders>
              <w:top w:val="single" w:color="DCE3EC" w:sz="3"/>
              <w:left w:val="single" w:color="DCE3EC" w:sz="3"/>
              <w:bottom w:val="single" w:color="DCE3EC" w:sz="3"/>
              <w:right w:val="single" w:color="DCE3EC" w:sz="3"/>
            </w:tcBorders>
            <w:shd w:fill="F3F6FA" w:val="clear"/>
            <w:tcMar>
              <w:top w:type="dxa" w:w="65"/>
              <w:left w:type="dxa" w:w="75"/>
              <w:bottom w:type="dxa" w:w="65"/>
              <w:right w:type="dxa" w:w="75"/>
            </w:tcMar>
            <w:vAlign w:val="center"/>
          </w:tcPr>
          <w:p>
            <w:pPr>
              <w:spacing w:after="35" w:line="200"/>
            </w:pPr>
            <w:r>
              <w:rPr>
                <w:rFonts w:ascii="Malgun Gothic" w:cs="Malgun Gothic" w:eastAsia="Malgun Gothic" w:hAnsi="Malgun Gothic"/>
                <w:b/>
                <w:bCs/>
                <w:color w:val="D84A4A"/>
                <w:sz w:val="14"/>
                <w:szCs w:val="14"/>
              </w:rPr>
              <w:t xml:space="preserve">Industrials · 가격 하위</w:t>
            </w:r>
          </w:p>
          <w:p>
            <w:pPr>
              <w:spacing w:after="0" w:line="215"/>
            </w:pPr>
            <w:r>
              <w:rPr>
                <w:rFonts w:ascii="Malgun Gothic" w:cs="Malgun Gothic" w:eastAsia="Malgun Gothic" w:hAnsi="Malgun Gothic"/>
                <w:color w:val="102A43"/>
                <w:sz w:val="14"/>
                <w:szCs w:val="14"/>
              </w:rPr>
              <w:t xml:space="preserve">2026-09-09 기준 최근 10거래일 수익률 하위 종목이다. 순위는 BQuant 가격으로 자동 계산됐으며 최신 공시·뉴스 기반 촉매 설명은 아직 검증하지 않았다.</w:t>
            </w:r>
          </w:p>
        </w:tc>
      </w:tr>
    </w:tbl>
    <w:p>
      <w:r>
        <w:br w:type="page"/>
      </w:r>
    </w:p>
    <w:p>
      <w:pPr>
        <w:pStyle w:val="Heading1"/>
        <w:keepNext/>
        <w:spacing w:after="110" w:before="220"/>
      </w:pPr>
      <w:r>
        <w:rPr>
          <w:rFonts w:ascii="Malgun Gothic" w:cs="Malgun Gothic" w:eastAsia="Malgun Gothic" w:hAnsi="Malgun Gothic"/>
          <w:b/>
          <w:bCs/>
          <w:color w:val="102A43"/>
          <w:sz w:val="32"/>
          <w:szCs w:val="32"/>
        </w:rPr>
        <w:t xml:space="preserve">Cross-market Read</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미국 · S&amp;P 500 · 상위: Information Technology 7개, Energy 2개 · 하위: Consumer Discretionary 3개, Utilities 2개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중국 · CSI 300 · 상위: Communication Services 3개, Information Technology 3개 · 하위: Industrials 6개, Information Technology 3개</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유럽 · STOXX Europe 600 · 상위: Energy 4개, Information Technology 2개 · 하위: Industrials 6개, Health Care 1개</w:t>
      </w:r>
    </w:p>
    <w:p>
      <w:pPr>
        <w:spacing w:after="95" w:before="0" w:line="270"/>
      </w:pPr>
      <w:r>
        <w:rPr>
          <w:rFonts w:ascii="Malgun Gothic" w:cs="Malgun Gothic" w:eastAsia="Malgun Gothic" w:hAnsi="Malgun Gothic"/>
          <w:b/>
          <w:bCs/>
          <w:color w:val="2F6BDE"/>
          <w:sz w:val="18"/>
          <w:szCs w:val="18"/>
        </w:rPr>
        <w:t xml:space="preserve">[INFERENCE] </w:t>
      </w:r>
      <w:r>
        <w:rPr>
          <w:rFonts w:ascii="Malgun Gothic" w:cs="Malgun Gothic" w:eastAsia="Malgun Gothic" w:hAnsi="Malgun Gothic"/>
          <w:color w:val="102A43"/>
          <w:sz w:val="18"/>
          <w:szCs w:val="18"/>
        </w:rPr>
        <w:t xml:space="preserve">여러 시장에서 같은 섹터가 동시에 상위 또는 하위에 집중될 때 공통 팩터 로테이션일 가능성이 높다. 단일 시장·단일 종목 움직임은 기업 이벤트 가능성을 우선 점검한다.</w:t>
      </w:r>
    </w:p>
    <w:p>
      <w:pPr>
        <w:spacing w:after="95" w:before="0" w:line="270"/>
      </w:pPr>
      <w:r>
        <w:rPr>
          <w:rFonts w:ascii="Malgun Gothic" w:cs="Malgun Gothic" w:eastAsia="Malgun Gothic" w:hAnsi="Malgun Gothic"/>
          <w:b/>
          <w:bCs/>
          <w:color w:val="9A6700"/>
          <w:sz w:val="18"/>
          <w:szCs w:val="18"/>
        </w:rPr>
        <w:t xml:space="preserve">[RISK] </w:t>
      </w:r>
      <w:r>
        <w:rPr>
          <w:rFonts w:ascii="Malgun Gothic" w:cs="Malgun Gothic" w:eastAsia="Malgun Gothic" w:hAnsi="Malgun Gothic"/>
          <w:color w:val="102A43"/>
          <w:sz w:val="18"/>
          <w:szCs w:val="18"/>
        </w:rPr>
        <w:t xml:space="preserve">10거래일은 이벤트, 숏커버, 유동성에 민감하다. 상위 종목을 구조적 승자로, 하위 종목을 펀더멘털 훼손으로 곧바로 해석하지 않는다.</w:t>
      </w:r>
    </w:p>
    <w:p>
      <w:pPr>
        <w:pStyle w:val="Heading1"/>
        <w:keepNext/>
        <w:spacing w:after="110" w:before="220"/>
      </w:pPr>
      <w:r>
        <w:rPr>
          <w:rFonts w:ascii="Malgun Gothic" w:cs="Malgun Gothic" w:eastAsia="Malgun Gothic" w:hAnsi="Malgun Gothic"/>
          <w:b/>
          <w:bCs/>
          <w:color w:val="102A43"/>
          <w:sz w:val="32"/>
          <w:szCs w:val="32"/>
        </w:rPr>
        <w:t xml:space="preserve">Methodology</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Universe는 S&amp;P 500, CSI 300, STOXX Europe 600의 최신 BQuant 구성종목이다. 전체 상장주 순위가 아니다.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전일과 당일 가격이 모두 유효한 구성종목 중 10%를 초과해 가격이 변한 날짜를 실제 거래일로 판정한다. 각 지수의 마지막 유효 거래일에서 10개 거래구간 전 종가를 시작값으로 쓴다.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시작일과 종료일 가격이 모두 존재하고 시작가격이 양수인 종목만 포함한다. 수익률은 현지통화 단순 가격수익률이며 배당과 환율효과를 포함하지 않는다.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102A43"/>
          <w:sz w:val="18"/>
          <w:szCs w:val="18"/>
        </w:rPr>
        <w:t xml:space="preserve">[FACT]와 [INFERENCE] 설명은 해당 분석창과 정확히 일치할 때만 과거 검증자료를 연결한다. 새로운 분석창은 [DATA] 상태로 생성되어 촉매 검증이 필요하다.</w:t>
      </w:r>
    </w:p>
    <w:p>
      <w:pPr>
        <w:pStyle w:val="Heading1"/>
        <w:keepNext/>
        <w:spacing w:after="110" w:before="220"/>
      </w:pPr>
      <w:r>
        <w:rPr>
          <w:rFonts w:ascii="Malgun Gothic" w:cs="Malgun Gothic" w:eastAsia="Malgun Gothic" w:hAnsi="Malgun Gothic"/>
          <w:b/>
          <w:bCs/>
          <w:color w:val="102A43"/>
          <w:sz w:val="32"/>
          <w:szCs w:val="32"/>
        </w:rPr>
        <w:t xml:space="preserve">Next Checks</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상·하위 종목의 최신 실적 발표, 가이던스, 규제·정책, M&amp;A, 자본조달 공시가 가격 변화를 직접 설명하는가?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같은 섹터 종목이 여러 시장에서 함께 움직였는가, 아니면 한 시장의 특수 이벤트인가?</w:t>
      </w:r>
    </w:p>
    <w:p>
      <w:pPr>
        <w:spacing w:after="95" w:before="0" w:line="270"/>
      </w:pPr>
      <w:r>
        <w:rPr>
          <w:rFonts w:ascii="Malgun Gothic" w:cs="Malgun Gothic" w:eastAsia="Malgun Gothic" w:hAnsi="Malgun Gothic"/>
          <w:b/>
          <w:bCs/>
          <w:color w:val="9A6700"/>
          <w:sz w:val="18"/>
          <w:szCs w:val="18"/>
        </w:rPr>
        <w:t xml:space="preserve">[OPEN QUESTION] </w:t>
      </w:r>
      <w:r>
        <w:rPr>
          <w:rFonts w:ascii="Malgun Gothic" w:cs="Malgun Gothic" w:eastAsia="Malgun Gothic" w:hAnsi="Malgun Gothic"/>
          <w:color w:val="102A43"/>
          <w:sz w:val="18"/>
          <w:szCs w:val="18"/>
        </w:rPr>
        <w:t xml:space="preserve">10거래일 수익률이 EPS 추정치 변화와 동행하는가, 아니면 P/E·포지셔닝 변화가 주도했는가?</w:t>
      </w:r>
    </w:p>
    <w:p>
      <w:r>
        <w:br w:type="page"/>
      </w:r>
    </w:p>
    <w:p>
      <w:pPr>
        <w:pStyle w:val="Heading1"/>
        <w:keepNext/>
        <w:spacing w:after="110" w:before="220"/>
      </w:pPr>
      <w:r>
        <w:rPr>
          <w:rFonts w:ascii="Malgun Gothic" w:cs="Malgun Gothic" w:eastAsia="Malgun Gothic" w:hAnsi="Malgun Gothic"/>
          <w:b/>
          <w:bCs/>
          <w:color w:val="102A43"/>
          <w:sz w:val="32"/>
          <w:szCs w:val="32"/>
        </w:rPr>
        <w:t xml:space="preserve">Sources</w:t>
      </w:r>
    </w:p>
    <w:p>
      <w:pPr>
        <w:spacing w:after="95" w:before="0" w:line="270"/>
      </w:pPr>
      <w:r>
        <w:rPr>
          <w:rFonts w:ascii="Malgun Gothic" w:cs="Malgun Gothic" w:eastAsia="Malgun Gothic" w:hAnsi="Malgun Gothic"/>
          <w:color w:val="62748A"/>
          <w:sz w:val="18"/>
          <w:szCs w:val="18"/>
        </w:rPr>
        <w:t xml:space="preserve">가격·구성종목: 사용자 제공 BQuant 원자료. 기업별 촉매를 검증한 분석창에서는 아래 출처가 함께 표시된다.</w:t>
      </w:r>
    </w:p>
    <w:p>
      <w:pPr>
        <w:spacing w:after="95" w:before="0" w:line="270"/>
      </w:pPr>
      <w:r>
        <w:rPr>
          <w:rFonts w:ascii="Malgun Gothic" w:cs="Malgun Gothic" w:eastAsia="Malgun Gothic" w:hAnsi="Malgun Gothic"/>
          <w:b/>
          <w:bCs/>
          <w:color w:val="0FA3A3"/>
          <w:sz w:val="18"/>
          <w:szCs w:val="18"/>
        </w:rPr>
        <w:t xml:space="preserve">[DATA] </w:t>
      </w:r>
      <w:r>
        <w:rPr>
          <w:rFonts w:ascii="Malgun Gothic" w:cs="Malgun Gothic" w:eastAsia="Malgun Gothic" w:hAnsi="Malgun Gothic"/>
          <w:color w:val="62748A"/>
          <w:sz w:val="18"/>
          <w:szCs w:val="18"/>
        </w:rPr>
        <w:t xml:space="preserve">이번 자동 갱신본에는 최신 기업별 촉매 출처가 아직 연결되지 않았다.</w:t>
      </w:r>
    </w:p>
    <w:sectPr>
      <w:footerReference w:type="default" r:id="rId7"/>
      <w:pgSz w:w="16838" w:h="11906" w:orient="landscape"/>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62748A"/>
        <w:sz w:val="14"/>
        <w:szCs w:val="14"/>
      </w:rPr>
      <w:t xml:space="preserve">10D Market Leaders &amp; Laggards  |  </w:t>
    </w:r>
    <w:r>
      <w:rPr>
        <w:rFonts w:ascii="Aptos" w:cs="Aptos" w:eastAsia="Aptos" w:hAnsi="Aptos"/>
        <w:color w:val="6274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02A43"/>
        <w:sz w:val="19"/>
        <w:szCs w:val="19"/>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Malgun Gothic" w:cs="Malgun Gothic" w:eastAsia="Malgun Gothic" w:hAnsi="Malgun Gothic"/>
      <w:b/>
      <w:bCs/>
      <w:color w:val="102A43"/>
      <w:sz w:val="32"/>
      <w:szCs w:val="32"/>
    </w:rPr>
  </w:style>
  <w:style w:type="paragraph" w:styleId="Heading2">
    <w:name w:val="Heading 2"/>
    <w:basedOn w:val="Normal"/>
    <w:next w:val="Normal"/>
    <w:qFormat/>
    <w:pPr>
      <w:spacing w:after="100" w:before="170"/>
      <w:outlineLvl w:val="1"/>
    </w:pPr>
    <w:rPr>
      <w:rFonts w:ascii="Malgun Gothic" w:cs="Malgun Gothic" w:eastAsia="Malgun Gothic" w:hAnsi="Malgun Gothic"/>
      <w:b/>
      <w:bCs/>
      <w:color w:val="2F6BDE"/>
      <w:sz w:val="25"/>
      <w:szCs w:val="25"/>
    </w:rPr>
  </w:style>
  <w:style w:type="paragraph" w:styleId="Heading3">
    <w:name w:val="Heading 3"/>
    <w:basedOn w:val="Normal"/>
    <w:next w:val="Normal"/>
    <w:qFormat/>
    <w:pPr>
      <w:spacing w:after="90" w:before="140"/>
      <w:outlineLvl w:val="2"/>
    </w:pPr>
    <w:rPr>
      <w:rFonts w:ascii="Malgun Gothic" w:cs="Malgun Gothic" w:eastAsia="Malgun Gothic" w:hAnsi="Malgun Gothic"/>
      <w:b/>
      <w:bCs/>
      <w:color w:val="0FA3A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b7a183523e53499b86c9e6e70d5ff83a5cc22d.png"/><Relationship Id="rId9" Type="http://schemas.openxmlformats.org/officeDocument/2006/relationships/image" Target="media/0832a96baeab28713915da86fb90f1d5a42d2d4e.png"/><Relationship Id="rId10" Type="http://schemas.openxmlformats.org/officeDocument/2006/relationships/image" Target="media/962bda06b42d5a759a973a3fc42b35ad46d5760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500·CSI 300·STOXX Europe 600 최근 10거래일 Top10·Down10 분석</dc:title>
  <dc:creator>OpenAI Codex</dc:creator>
  <dc:description>BQuant 가격자료와 기업 공시·시장 보도를 결합한 최근 10거래일 성과 요인 분석</dc:description>
  <cp:lastModifiedBy>Un-named</cp:lastModifiedBy>
  <cp:revision>1</cp:revision>
  <dcterms:created xsi:type="dcterms:W3CDTF">2026-09-09T23:49:22.491Z</dcterms:created>
  <dcterms:modified xsi:type="dcterms:W3CDTF">2026-09-09T23:49:22.497Z</dcterms:modified>
</cp:coreProperties>
</file>

<file path=docProps/custom.xml><?xml version="1.0" encoding="utf-8"?>
<Properties xmlns="http://schemas.openxmlformats.org/officeDocument/2006/custom-properties" xmlns:vt="http://schemas.openxmlformats.org/officeDocument/2006/docPropsVTypes"/>
</file>