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Spencer Nauss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Reflection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We are currently working on creating the games for our project, and categorizing our sources into main ideas. We also are creating fake cartridges of the games we are making, and have information about each one around them, and how the games affected America. Before next class, I have to get all of the cartridge images ready, and work on fixing a bug where the aliens in Space Invaders don’t all shoot at the same time. Next class I will likely continue to move information into main ideas in order to strengthen the answer to the thesis question. I learned that nintendo created the seal of quality so Americans will develop trust in their products. I have been working on annotations, and beginning to fix bugs in the code we are working 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