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EF7C36">
            <w:rPr>
              <w:sz w:val="44"/>
              <w:szCs w:val="44"/>
              <w:lang w:val="zh-CN"/>
            </w:rPr>
            <w:fldChar w:fldCharType="begin"/>
          </w:r>
          <w:r w:rsidR="00456767"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EF7C36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="00456767" w:rsidRPr="00EF7C36">
              <w:rPr>
                <w:rStyle w:val="a3"/>
                <w:noProof/>
                <w:sz w:val="44"/>
                <w:szCs w:val="44"/>
              </w:rPr>
              <w:t>Linux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="00456767" w:rsidRPr="00EF7C36">
              <w:rPr>
                <w:rStyle w:val="a3"/>
                <w:noProof/>
                <w:sz w:val="44"/>
                <w:szCs w:val="44"/>
              </w:rPr>
              <w:t>MongoDB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="00456767"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="00456767"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701ECD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="00456767"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0C01D7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701ECD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lastRenderedPageBreak/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8F7111">
      <w:pPr>
        <w:ind w:leftChars="300" w:left="630"/>
      </w:pPr>
      <w:r w:rsidRPr="008F7111">
        <w:t> </w:t>
      </w:r>
      <w:r>
        <w:rPr>
          <w:rFonts w:hint="eastAsia"/>
        </w:rPr>
        <w:t xml:space="preserve">        </w:t>
      </w:r>
      <w:r w:rsidRPr="008F7111">
        <w:t>  vim-enhanced-7.0.109-7.el5</w:t>
      </w:r>
    </w:p>
    <w:p w:rsidR="008F7111" w:rsidRPr="008F7111" w:rsidRDefault="008F7111" w:rsidP="008F7111">
      <w:pPr>
        <w:ind w:leftChars="300" w:left="630"/>
      </w:pPr>
      <w:r w:rsidRPr="008F7111">
        <w:t>  </w:t>
      </w:r>
      <w:r>
        <w:rPr>
          <w:rFonts w:hint="eastAsia"/>
        </w:rPr>
        <w:t xml:space="preserve">         </w:t>
      </w:r>
      <w:r w:rsidRPr="008F7111">
        <w:t>vim-minimal-7.0.109-7.el5</w:t>
      </w:r>
    </w:p>
    <w:p w:rsidR="008F7111" w:rsidRDefault="008F7111" w:rsidP="008F7111">
      <w:pPr>
        <w:ind w:leftChars="300" w:left="630"/>
      </w:pPr>
      <w:r w:rsidRPr="008F7111">
        <w:t>  </w:t>
      </w:r>
      <w:r>
        <w:rPr>
          <w:rFonts w:hint="eastAsia"/>
        </w:rPr>
        <w:t xml:space="preserve">        </w:t>
      </w:r>
      <w:r w:rsidRPr="008F7111">
        <w:t xml:space="preserve">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  <w:r>
        <w:rPr>
          <w:rFonts w:hint="eastAsia"/>
        </w:rPr>
        <w:t xml:space="preserve"> 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  <w:r>
        <w:rPr>
          <w:rFonts w:hint="eastAsia"/>
        </w:rPr>
        <w:t xml:space="preserve"> 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  <w:r>
        <w:rPr>
          <w:rFonts w:hint="eastAsia"/>
        </w:rPr>
        <w:t xml:space="preserve"> 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>
        <w:rPr>
          <w:rFonts w:hint="eastAsia"/>
        </w:rPr>
        <w:t xml:space="preserve">  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4E5D3B" w:rsidP="00EF7C36"/>
        </w:tc>
        <w:tc>
          <w:tcPr>
            <w:tcW w:w="3561" w:type="dxa"/>
          </w:tcPr>
          <w:p w:rsidR="004E5D3B" w:rsidRDefault="004E5D3B" w:rsidP="00EF7C36"/>
        </w:tc>
        <w:tc>
          <w:tcPr>
            <w:tcW w:w="3561" w:type="dxa"/>
          </w:tcPr>
          <w:p w:rsidR="004E5D3B" w:rsidRDefault="004E5D3B" w:rsidP="00EF7C36"/>
        </w:tc>
      </w:tr>
    </w:tbl>
    <w:p w:rsidR="004D6FEE" w:rsidRDefault="004D6FEE" w:rsidP="00EF7C36"/>
    <w:p w:rsidR="004D6FEE" w:rsidRDefault="004D6FEE" w:rsidP="00EF7C36"/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  <w:r>
        <w:rPr>
          <w:rFonts w:hint="eastAsia"/>
        </w:rPr>
        <w:t xml:space="preserve"> 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>
        <w:rPr>
          <w:rFonts w:hint="eastAsia"/>
        </w:rPr>
        <w:t xml:space="preserve">  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rPr>
          <w:rFonts w:hint="eastAsia"/>
        </w:rPr>
        <w:t xml:space="preserve">   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 w:firstRow="1" w:lastRow="0" w:firstColumn="1" w:lastColumn="0" w:noHBand="0" w:noVBand="1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>use xxx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>
              <w:rPr>
                <w:rFonts w:hint="eastAsia"/>
                <w:color w:val="FF0000"/>
              </w:rPr>
              <w:t>响应</w:t>
            </w:r>
            <w:r>
              <w:rPr>
                <w:color w:val="FF0000"/>
              </w:rPr>
              <w:t>数据库里；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  <w:rPr>
          <w:rFonts w:hint="eastAsia"/>
        </w:rPr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00E117" wp14:editId="6EB6E81E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52A1C" wp14:editId="7EBD2A44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  <w:r>
        <w:rPr>
          <w:rFonts w:hint="eastAsia"/>
          <w:noProof/>
        </w:rPr>
        <w:t xml:space="preserve">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>db.grantPrivilegesToRole</w:t>
      </w:r>
      <w:r w:rsidR="001069EB">
        <w:rPr>
          <w:noProof/>
        </w:rPr>
        <w:t xml:space="preserve"> </w:t>
      </w:r>
      <w:r>
        <w:rPr>
          <w:noProof/>
        </w:rPr>
        <w:t xml:space="preserve">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</w:t>
            </w:r>
            <w:bookmarkStart w:id="6" w:name="_GoBack"/>
            <w:bookmarkEnd w:id="6"/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  <w:rPr>
          <w:rFonts w:hint="eastAsia"/>
        </w:rPr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7" w:name="_Toc515176011"/>
      <w:bookmarkStart w:id="8" w:name="_Toc515176669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7"/>
      <w:bookmarkEnd w:id="8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9" w:name="_Toc515176012"/>
      <w:bookmarkStart w:id="10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9"/>
      <w:bookmarkEnd w:id="10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1" w:name="_Toc515176013"/>
      <w:bookmarkStart w:id="12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1"/>
      <w:bookmarkEnd w:id="12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3" w:name="_Toc515176015"/>
      <w:bookmarkStart w:id="14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3"/>
      <w:bookmarkEnd w:id="14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7811C5" w:rsidRDefault="007811C5" w:rsidP="00EF7C36"/>
    <w:p w:rsidR="007811C5" w:rsidRDefault="007811C5" w:rsidP="00EF7C36">
      <w:r>
        <w:br w:type="page"/>
      </w:r>
    </w:p>
    <w:p w:rsidR="00193BF9" w:rsidRDefault="00193BF9" w:rsidP="00EF7C36">
      <w:pPr>
        <w:pStyle w:val="1"/>
        <w:spacing w:before="0" w:after="0"/>
      </w:pPr>
      <w:bookmarkStart w:id="15" w:name="_Toc515176016"/>
      <w:bookmarkStart w:id="16" w:name="_Toc515176674"/>
      <w:r>
        <w:rPr>
          <w:rFonts w:hint="eastAsia"/>
        </w:rPr>
        <w:lastRenderedPageBreak/>
        <w:t>JS</w:t>
      </w:r>
      <w:r>
        <w:t>ON</w:t>
      </w:r>
      <w:r>
        <w:rPr>
          <w:rFonts w:hint="eastAsia"/>
        </w:rPr>
        <w:t>笔记</w:t>
      </w:r>
      <w:bookmarkEnd w:id="15"/>
      <w:bookmarkEnd w:id="16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FF" w:rsidRDefault="009867FF" w:rsidP="00F11508">
      <w:r>
        <w:separator/>
      </w:r>
    </w:p>
  </w:endnote>
  <w:endnote w:type="continuationSeparator" w:id="0">
    <w:p w:rsidR="009867FF" w:rsidRDefault="009867FF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FF" w:rsidRDefault="009867FF" w:rsidP="00F11508">
      <w:r>
        <w:separator/>
      </w:r>
    </w:p>
  </w:footnote>
  <w:footnote w:type="continuationSeparator" w:id="0">
    <w:p w:rsidR="009867FF" w:rsidRDefault="009867FF" w:rsidP="00F1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697402"/>
    <w:multiLevelType w:val="hybridMultilevel"/>
    <w:tmpl w:val="2506AB3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73678B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5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CC1208"/>
    <w:multiLevelType w:val="hybridMultilevel"/>
    <w:tmpl w:val="1ADCD0D6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1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4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2"/>
  </w:num>
  <w:num w:numId="4">
    <w:abstractNumId w:val="2"/>
  </w:num>
  <w:num w:numId="5">
    <w:abstractNumId w:val="13"/>
  </w:num>
  <w:num w:numId="6">
    <w:abstractNumId w:val="11"/>
  </w:num>
  <w:num w:numId="7">
    <w:abstractNumId w:val="21"/>
  </w:num>
  <w:num w:numId="8">
    <w:abstractNumId w:val="9"/>
  </w:num>
  <w:num w:numId="9">
    <w:abstractNumId w:val="5"/>
  </w:num>
  <w:num w:numId="10">
    <w:abstractNumId w:val="19"/>
  </w:num>
  <w:num w:numId="11">
    <w:abstractNumId w:val="16"/>
  </w:num>
  <w:num w:numId="12">
    <w:abstractNumId w:val="4"/>
  </w:num>
  <w:num w:numId="13">
    <w:abstractNumId w:val="18"/>
  </w:num>
  <w:num w:numId="14">
    <w:abstractNumId w:val="6"/>
  </w:num>
  <w:num w:numId="15">
    <w:abstractNumId w:val="15"/>
  </w:num>
  <w:num w:numId="16">
    <w:abstractNumId w:val="23"/>
  </w:num>
  <w:num w:numId="17">
    <w:abstractNumId w:val="0"/>
  </w:num>
  <w:num w:numId="18">
    <w:abstractNumId w:val="7"/>
  </w:num>
  <w:num w:numId="19">
    <w:abstractNumId w:val="14"/>
  </w:num>
  <w:num w:numId="20">
    <w:abstractNumId w:val="12"/>
  </w:num>
  <w:num w:numId="21">
    <w:abstractNumId w:val="25"/>
  </w:num>
  <w:num w:numId="22">
    <w:abstractNumId w:val="10"/>
  </w:num>
  <w:num w:numId="23">
    <w:abstractNumId w:val="17"/>
  </w:num>
  <w:num w:numId="24">
    <w:abstractNumId w:val="1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750"/>
    <w:rsid w:val="00033AA7"/>
    <w:rsid w:val="00056BE3"/>
    <w:rsid w:val="000C01D7"/>
    <w:rsid w:val="001069EB"/>
    <w:rsid w:val="00146750"/>
    <w:rsid w:val="00193BF9"/>
    <w:rsid w:val="0023246D"/>
    <w:rsid w:val="00276F60"/>
    <w:rsid w:val="002B2C2C"/>
    <w:rsid w:val="002B3423"/>
    <w:rsid w:val="002C2AD6"/>
    <w:rsid w:val="002D3FC4"/>
    <w:rsid w:val="00327B1D"/>
    <w:rsid w:val="0035210A"/>
    <w:rsid w:val="00366A62"/>
    <w:rsid w:val="00375AB3"/>
    <w:rsid w:val="003A42BF"/>
    <w:rsid w:val="00412556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90C60"/>
    <w:rsid w:val="005A455F"/>
    <w:rsid w:val="00630BA1"/>
    <w:rsid w:val="006762CD"/>
    <w:rsid w:val="006911E2"/>
    <w:rsid w:val="006C2197"/>
    <w:rsid w:val="006C346B"/>
    <w:rsid w:val="006E273E"/>
    <w:rsid w:val="00701ECD"/>
    <w:rsid w:val="00712D9F"/>
    <w:rsid w:val="00721F35"/>
    <w:rsid w:val="007811C5"/>
    <w:rsid w:val="007B74A8"/>
    <w:rsid w:val="007F659B"/>
    <w:rsid w:val="00801520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6185E"/>
    <w:rsid w:val="009867FF"/>
    <w:rsid w:val="00A23E96"/>
    <w:rsid w:val="00A3777F"/>
    <w:rsid w:val="00A65236"/>
    <w:rsid w:val="00AA1C2A"/>
    <w:rsid w:val="00B13F37"/>
    <w:rsid w:val="00B443C3"/>
    <w:rsid w:val="00B7244D"/>
    <w:rsid w:val="00BD4997"/>
    <w:rsid w:val="00C20B6A"/>
    <w:rsid w:val="00CC5216"/>
    <w:rsid w:val="00CF2FE6"/>
    <w:rsid w:val="00CF3D18"/>
    <w:rsid w:val="00D04FC5"/>
    <w:rsid w:val="00D163B8"/>
    <w:rsid w:val="00D65362"/>
    <w:rsid w:val="00D81703"/>
    <w:rsid w:val="00D824E7"/>
    <w:rsid w:val="00DE5503"/>
    <w:rsid w:val="00E81C0E"/>
    <w:rsid w:val="00E84783"/>
    <w:rsid w:val="00EF698C"/>
    <w:rsid w:val="00EF7C36"/>
    <w:rsid w:val="00F11508"/>
    <w:rsid w:val="00F46F16"/>
    <w:rsid w:val="00F55484"/>
    <w:rsid w:val="00F940A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B8DCE5-B9D1-4438-8D54-373650D1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AA201-A86D-4A27-9253-B08415F3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17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35</cp:revision>
  <dcterms:created xsi:type="dcterms:W3CDTF">2018-05-12T02:22:00Z</dcterms:created>
  <dcterms:modified xsi:type="dcterms:W3CDTF">2018-05-29T12:36:00Z</dcterms:modified>
</cp:coreProperties>
</file>