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«Форматирование ячеек и создание таблиц в Excel»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освоить форматирование листов и ячеек, использование относительных и абсолютных ссылок, табулирование функций, построение диаграмм и матричные вычисления.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«Лаб_раб_Excel.pdf», задания 1–8. Результат сохранён в книге Дубограй_А_Ю_Excel_1.xls, все задания объединены в одном файле.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 Календарь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На листе «Календарь» создан календарь ноября 2026 года по варианту 6. Даты введены постоянными числами. Первое ноября приходится на воскресенье; месяц содержит 30 дней.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4 ноября — День народного единства — выделено красным. Примечания к 10 и 21 ноября указывают профессиональные праздники: День сотрудника органов внутренних дел и День работника налоговых органов. Выходные выделены серым. Добавлены WordArt «ОСЕНЬ» и рисунок осеннего листа.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Источники дат: Минтруд России https://mintrud.gov.ru/social/social/1366; официальные сообщения МВД и ФНС, ссылки на которые сохранены рядом с календарём и в примечаниях.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2 Учебная таблица зарплаты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На листе «Таблица» воспроизведена структура образца с десятью строками. Оклад, премия, сверхурочные, налог и начисление имеют денежный формат. Параметры: 11%, 55,5% и 13% — учебные ставки для расчёта по образцу.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Формулы используют абсолютные ссылки на ставки и относительные ссылки на строки сотрудников. Денежные вычисления округляются до двух знаков по строкам. Итог окладов — 20900,00; премий — 2299,00; сверхурочных — 11599,50; налога — 4523,83; начислений — 30274,67.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исходном рисунке имеются несогласованные значения: например, сверхурочные для оклада 1200 при общей ставке 55,5% должны составлять 666, а не 660. В книге сохранены вычислительные зависимости и корректные итоги по строкам.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Порог для подсчёта выбран равным 2000. Строго больше порога четыре оклада, строго меньше — пять; один оклад равен порогу. Показатели рассчитаны COUNTIF. Оформление шапки, заливок, границ и выравнивания выбрано по строке варианта 6 в таблице 3.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3 Табулирование функции одной переменной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y = a·sin(bx)/∛(cos(x)+c) + log₃(x).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Выбраны a=2, b=3, c=2; x от 10° до 360° с шагом 10°. Условия области определения выполнены: x&gt;0; cos(x)+2≥1, знаменатель не равен нулю. Перед SIN и COS углы преобразованы функцией RADIANS.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формуле закреплены ссылки на параметры, а ссылка на x изменяется при копировании по строкам. Создан точечный график, связанный с диапазоном значений. Оси пересекаются в начале координат.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4 Функция двух переменных и поверхность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z = x²/a² − y²/b². Выбраны a=45°, b=30°, x и y от −90° до 90° с шагом 15°. Параметры отличны от нуля. Все величины в дробях заданы в одинаковых единицах, тригонометрических функций в данном выражении нет.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Таблица значений использует смешанные ссылки: строка значений x и столбец значений y закреплены по одной координате. По таблице построена редактируемая диаграмма поверхности. Значения на горизонтальных направлениях соответствуют исходным x и y.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5 Матричное выражение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Вариант 6: R=(A−B)·C². Матрицы выбраны квадратными, размером 3×3. Диапазонам присвоены имена Матрица_A, Матрица_B, Матрица_C, Матрица_D; D в выражении этого варианта не участвует.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A = [3 1 2]    B = [1 0 1]    C = [1 2 0]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[0 4 1]        [0 2 0]        [0 1 1]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[2 1 5]        [1 0 2]        [1 0 2]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C² = [1 4 2]     R = [ 6 11 11]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[1 1 3]         [ 5  4 10]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[3 2 4]         [11 11 17]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Каждый элемент произведения вычислен как сумма произведений соответствующей строки и столбца. Поэлементное возведение C в квадрат не используется.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созданы пять рабочих листов, таблицы и диаграммы. Проверены пересчёт формул при изменении параметров и отсутствие ошибок формул в книге. Получены результаты табулирования и матричного выражения.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