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keepNext/>
      </w:pPr>
      <w:r>
        <w:t>Table 3. Adjacent sparse-square outcomes in all three tested DLLs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Operand bits b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Input limb sum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Result bits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Delta from T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Result limbs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2,147,352,576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67,104,768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4,294,705,151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−1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67,104,768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Succeeded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2,147,352,577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67,104,770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4,294,705,153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+1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67,104,769</w:t>
            </w:r>
          </w:p>
        </w:tc>
        <w:tc>
          <w:tcPr>
            <w:tcW w:type="dxa" w:w="15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Wrapped request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