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pPr>
        <w:pStyle w:val="Title"/>
        <w:keepNext/>
        <w:jc w:val="left"/>
      </w:pPr>
      <w:r>
        <w:t>Arithmetic and decimal output costs in a home computer calculation of the ten billionth Fibonacci number</w:t>
      </w:r>
    </w:p>
    <w:p>
      <w:r>
        <w:t>Xudong Lu</w:t>
      </w:r>
    </w:p>
    <w:p>
      <w:r>
        <w:t>Fengjing High School Affiliated to East China Normal University, Shanghai, China</w:t>
      </w:r>
    </w:p>
    <w:p>
      <w:r>
        <w:t>Corresponding author: Xudong Lu</w:t>
      </w:r>
    </w:p>
    <w:p>
      <w:r>
        <w:t>Email: lusunrise@126.com</w:t>
      </w:r>
    </w:p>
    <w:p>
      <w:r>
        <w:br w:type="page"/>
      </w:r>
    </w:p>
    <w:p>
      <w:pPr>
        <w:pStyle w:val="Heading1"/>
        <w:keepNext/>
        <w:numPr>
          <w:numId w:val="0"/>
        </w:numPr>
      </w:pPr>
      <w:r>
        <w:t>Abstract</w:t>
      </w:r>
    </w:p>
    <w:p>
      <w:pPr>
        <w:jc w:val="left"/>
      </w:pPr>
      <w:r>
        <w:t>Background: Very large integers require an output and verification workflow as well as efficient arithmetic.</w:t>
      </w:r>
    </w:p>
    <w:p>
      <w:pPr>
        <w:jc w:val="left"/>
      </w:pPr>
      <w:r>
        <w:t>Methods: New experiments used an Intel Core i5-14400F host, Windows 11 and WSL2 Ubuntu. Four arithmetic implementations were measured five times at each of four index sizes. Full outputs, process-resource records and native Windows failure logs were retained.</w:t>
      </w:r>
    </w:p>
    <w:p>
      <w:pPr>
        <w:jc w:val="left"/>
      </w:pPr>
      <w:r>
        <w:t>Results: Two distinct Windows GMP DLLs failed at the last n=8 billion square. Separate sparse-square and compiled C probes found adjacent outcomes in both: 2,147,352,576 operand bits succeeded and 2,147,352,577 failed with a wrapped 64-bit allocation request. At n=10 billion, three WSL2 and one native MPIR full outputs contained 2,089,876,403 digits each and matched a new direct Linux GMP reference by SHA-256.</w:t>
      </w:r>
    </w:p>
    <w:p>
      <w:pPr>
        <w:jc w:val="left"/>
      </w:pPr>
      <w:r>
        <w:t>Conclusions: The two tested DLL builds share an observed sparse-input boundary, while WSL2/Linux GMP and Windows MPIR completed the target output. Decimal conversion accounted for a median 90.65% of WSL2 measured stages. The exact source expression and broader platform behavior remain untested.</w:t>
      </w:r>
    </w:p>
    <w:p>
      <w:pPr>
        <w:jc w:val="left"/>
      </w:pPr>
      <w:r>
        <w:t>Keywords: arbitrary precision arithmetic; Fibonacci number; decimal conversion; empirical evaluation; reproducible research</w:t>
      </w:r>
    </w:p>
    <w:p>
      <w:pPr>
        <w:pStyle w:val="Heading1"/>
        <w:keepNext/>
        <w:numPr>
          <w:numId w:val="0"/>
        </w:numPr>
      </w:pPr>
      <w:r>
        <w:t>Introduction</w:t>
      </w:r>
    </w:p>
    <w:p>
      <w:pPr>
        <w:jc w:val="left"/>
      </w:pPr>
      <w:r>
        <w:t>An isolated large integer is not fully delivered when arithmetic finishes. Applications must also construct its external representation and preserve a complete result that another implementation or reference can check. For the ten billionth Fibonacci number, decimal representation requires more than two billion characters. This size makes the integer-to-text path a first-order engineering concern.</w:t>
      </w:r>
    </w:p>
    <w:p>
      <w:pPr>
        <w:jc w:val="left"/>
      </w:pPr>
      <w:r>
        <w:t>Efficient arithmetic methods are already available. Multiple-precision arithmetic covers size-dependent multiplication, division, and conversion strategies (Brent and Zimmermann, 2010). GMP documents the binary-prefix two-square Fibonacci algorithm used in this project (The GNU MP developers, 2023a) and employs distinct multiplication regimes (The GNU MP developers, 2023b). Improving an application at this scale therefore involves selecting and integrating existing library operations as well as managing temporary allocations and output construction.</w:t>
      </w:r>
    </w:p>
    <w:p>
      <w:pPr>
        <w:jc w:val="left"/>
      </w:pPr>
      <w:r>
        <w:t>The examined open-source program exposes several arithmetic backends, a decimal writer, and an interface that keeps diagnostics after worker failure (Lu, 2026). Its detailed narrative describes unsuccessful implementations and a completed target-size calculation. This manuscript reorganizes that account as a systems investigation, while keeping claims within the available evidence. It does not claim a new recurrence or a computational record.</w:t>
      </w:r>
    </w:p>
    <w:p>
      <w:pPr>
        <w:jc w:val="left"/>
      </w:pPr>
      <w:r>
        <w:t>Four research questions guide the analysis. RQ1 asks how the recorded arithmetic implementations compare on the available size range. RQ2 asks how much of the completed target calculation is attributable to arithmetic and to conversion with output. RQ3 asks which parts of the failure and result-validation claims can be supported by retained records. RQ4 examines full-output verification and reference provenance; RQ3 includes native-backend completion evidence. These questions are evaluated using the retained experimental evidence.</w:t>
      </w:r>
    </w:p>
    <w:p>
      <w:pPr>
        <w:jc w:val="left"/>
      </w:pPr>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pPr>
        <w:jc w:val="left"/>
      </w:pPr>
      <w:r>
        <w:t>The project began with naive recursion and matrix exponentiation, followed by fast doubling, Lucas and two-square algorithms. Despite repeated algorithmic improvements, attempts to compute and write the ten-billionth term failed for an extended period. The author's exploratory GitHub search did not locate a directly usable same-scale output record; its queries and date were not retained, so no priority claim follows.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(Sofroniou, 2013); its source-level cause is not assigned to the present binary.</w:t>
      </w:r>
    </w:p>
    <w:p>
      <w:pPr>
        <w:pStyle w:val="Heading1"/>
        <w:keepNext/>
        <w:numPr>
          <w:numId w:val="0"/>
        </w:numPr>
      </w:pPr>
      <w:r>
        <w:t>Materials and methods</w:t>
      </w:r>
    </w:p>
    <w:p>
      <w:pPr>
        <w:pStyle w:val="Heading2"/>
        <w:keepNext/>
        <w:numPr>
          <w:numId w:val="0"/>
        </w:numPr>
      </w:pPr>
      <w:r>
        <w:t>Evidence sources and scope</w:t>
      </w:r>
    </w:p>
    <w:p>
      <w:pPr>
        <w:jc w:val="left"/>
      </w:pPr>
      <w:r>
        <w:t>Experiments were run on 15 October 2026 on an Intel Core i5-14400F host with 10 physical cores, 16 logical processors and 34,072,674,304 bytes of visible physical memory. Windows reported build 27766. The failing native path used Python 3.13.7 and gmpy2 2.3.1 with GMP 6.3.0; a downloaded PyPI wheel (SHA-256 74235fcce8a1bee207bf8d43955cb04563f71ba8231a3bbafc6dd7869503d05c) supplied gmpy2 2.2.1 for two further failure trials. Its bundled `libgmp-10.dll` has SHA-256 `fb2d312ca861c18e8b23648ac8440b0b613b1930ceff58f48b48ba2d3bd6b186`, distinct from the 2.3.1 DLL. Both report GMP 6.3.0; compiler and build flags are not established by wheel metadata. WSL2 Ubuntu used Python 3.12.3, gmpy2 2.1.5 and GMP 6.3.0, with a 5.15.167.4 WSL2 kernel. Its visible memory was 16,240,976 KiB and swap 4 GiB. These are distinct runtime builds, not an operating-system-only controlled comparison. Raw environment records accompany every Linux trial.</w:t>
      </w:r>
    </w:p>
    <w:p>
      <w:pPr>
        <w:jc w:val="left"/>
      </w:pPr>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pPr>
        <w:jc w:val="left"/>
      </w:pPr>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pPr>
        <w:jc w:val="left"/>
      </w:pPr>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pPr>
        <w:jc w:val="left"/>
      </w:pPr>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The new native reference was streamed once more: decimal digit sums gave mod 9 = 6 and mod 11 = 0, matching bounded Fibonacci residues. Cassini's identity held modulo 1,000,000,007, 1,000,000,009 and 2,147,483,647; a period-based check gave last five digits 46875 and a separate 90-digit logarithm gave first five digits 14135. The other four new payloads share the reference's SHA-256. Each complete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2"/>
        <w:keepNext/>
        <w:numPr>
          <w:numId w:val="0"/>
        </w:numPr>
      </w:pPr>
      <w:r>
        <w:t>Two-square arithmetic and backend selection</w:t>
      </w:r>
    </w:p>
    <w:p>
      <w:pPr>
        <w:jc w:val="left"/>
      </w:pPr>
      <w:r>
        <w:t>The implementation maintains two neighboring Fibonacci values with their prefix index and its parity. An incoming binary digit doubles the prefix index and optionally adds one. The next state follows the established two-square identities (The GNU MP developers, 2023a):</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pPr>
        <w:jc w:val="left"/>
      </w:pPr>
      <w:r>
        <w:t>The loop releases obsolete state references after forming the successor. For n=10</w:t>
      </w:r>
      <w:r>
        <w:rPr>
          <w:vertAlign w:val="superscript"/>
        </w:rPr>
        <w:t>10</w:t>
      </w:r>
      <w:r>
        <w:t>, a 34-bit index gives 33 iterations after initialization. This is logarithmic recurrence depth, not a constant bit-operation count. The cost of each step depends on growing operands and the underlying multiplication implementation.</w:t>
      </w:r>
    </w:p>
    <w:p>
      <w:pPr>
        <w:jc w:val="left"/>
      </w:pPr>
      <w:r>
        <w:t>The program's automatic policy selects native gmpy2.fib for indices no greater than 4,294,967,294 and the Python two-square path above that value. GMP's native Fibonacci interface uses unsigned long (The GNU MP developers, 2023d). The program keeps its conservative cutoff on Linux; the supplementary driver bypasses it to compare native GMP at the same target index. The cutoff and the later allocation failure are distinct issues.</w:t>
      </w:r>
    </w:p>
    <w:p>
      <w:pPr>
        <w:pStyle w:val="Heading2"/>
        <w:keepNext/>
        <w:numPr>
          <w:numId w:val="0"/>
        </w:numPr>
      </w:pPr>
      <w:r>
        <w:t>Decimal conversion and output construction</w:t>
      </w:r>
    </w:p>
    <w:p>
      <w:pPr>
        <w:jc w:val="left"/>
      </w:pPr>
      <w:r>
        <w:t>The writer plans a decimal width using a 256-bit MPFR evaluation (Fousse et al., 2007) (The MPFR developers, 2025):</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pPr>
        <w:jc w:val="left"/>
      </w:pPr>
      <w:r>
        <w:t>Explicit floor is used, and the two initial sequence values are handled separately. At n=10</w:t>
      </w:r>
      <w:r>
        <w:rPr>
          <w:vertAlign w:val="superscript"/>
        </w:rPr>
        <w:t>10</w:t>
      </w:r>
      <w:r>
        <w:t>, 256-bit and 1024-bit MPFR calculations have the same integer part, 2,089,876,402; the latter has fractional part 0.1503023355..., and their numerical difference is about 1.11e-68. The retained payload has 2,089,876,403 digits. These are numerical checks, not a formal interval certificate. gmpy2's documented possible one-digit excess in num_digits motivates avoiding an unchecked approximate width for padding (The gmpy2 contributors, n.d.). Fixed precision does not constitute a proof that every arbitrary index has a certified width.</w:t>
      </w:r>
    </w:p>
    <w:p>
      <w:pPr>
        <w:jc w:val="left"/>
      </w:pPr>
      <w:r>
        <w:t>The integer is recursively split into high and low decimal blocks:</w:t>
      </w:r>
    </w:p>
    <w:p>
      <w:pPr>
        <w:keepNext/>
        <w:jc w:val="center"/>
      </w:pPr>
      <m:oMath>
        <m:r>
          <m:t>v = q</m:t>
        </m:r>
        <m:sSup>
          <m:e>
            <m:r>
              <m:t>10</m:t>
            </m:r>
          </m:e>
          <m:sup>
            <m:r>
              <m:t>h</m:t>
            </m:r>
          </m:sup>
        </m:sSup>
        <m:r>
          <m:t> + r,   h = ⌊</m:t>
        </m:r>
        <m:f>
          <m:num>
            <m:r>
              <m:t>w</m:t>
            </m:r>
          </m:num>
          <m:den>
            <m:r>
              <m:t>2</m:t>
            </m:r>
          </m:den>
        </m:f>
        <m:r>
          <m:t>⌋,   0 ≤ r &lt; </m:t>
        </m:r>
        <m:sSup>
          <m:e>
            <m:r>
              <m:t>10</m:t>
            </m:r>
          </m:e>
          <m:sup>
            <m:r>
              <m:t>h</m:t>
            </m:r>
          </m:sup>
        </m:sSup>
      </m:oMath>
    </w:p>
    <w:p>
      <w:pPr>
        <w:jc w:val="left"/>
      </w:pPr>
      <w:r>
        <w:t>The high block is written before the low block, and the low block retains its allocated width through zero padding. At widths no larger than 4,000,000 digits, a leaf is converted through gmpy2 and immediately written. Cached powers of ten are local to the task and are cleared afterwards. This follows a divide-and-conquer organization related to documented multiple-precision radix conversion (The GNU MP developers, 2023e).</w:t>
      </w:r>
    </w:p>
    <w:p>
      <w:pPr>
        <w:jc w:val="left"/>
      </w:pPr>
      <w:r>
        <w:t>The target split tree has 1,024 leaves. A complete multi-gigabyte string is avoided, but the output routine does not have memory consumption independent of n. The caller retains the full integer while recursive pending blocks, powers, and division temporaries remain allocated. The leaf threshold bounds an individual string allocation and should not be interpreted as a total-RAM bound.</w:t>
      </w:r>
    </w:p>
    <w:p>
      <w:pPr>
        <w:pStyle w:val="Heading2"/>
        <w:keepNext/>
        <w:numPr>
          <w:numId w:val="0"/>
        </w:numPr>
      </w:pPr>
      <w:r>
        <w:t>Process isolation and recorded failures</w:t>
      </w:r>
    </w:p>
    <w:p>
      <w:pPr>
        <w:jc w:val="left"/>
      </w:pPr>
      <w:r>
        <w:t>The interface starts an independent worker through Python's subprocess interface (Python Software Foundation, n.d.-a). Arithmetic stages and progress are exchanged as structured messages. Diagnostic lines identify the operation about to run, the operation completed, operand lengths, and resource values when available. Each line is flushed and fsynced. GMP's default memory behavior can terminate a process on allocation failure (The GNU MP developers, 2023c), making process separation useful for preserving the interface and diagnostic evidence.</w:t>
      </w:r>
    </w:p>
    <w:p>
      <w:pPr>
        <w:jc w:val="left"/>
      </w:pPr>
      <w:r>
        <w:t>Windows's LLP64 model keeps long at 32 bits even with 64-bit pointers (Microsoft, n.d.-a); this type fact alone does not identify the failed expression. The near-4-GiB message alone cannot reveal the full request. Here the allocator callback records the 64-bit value, and a direct GMP DLL call reproduces the boundary without gmpy2. This identifies a wrapped allocation size in the examined build, while leaving its exact source expression unresolved.</w:t>
      </w:r>
    </w:p>
    <w:p>
      <w:r>
        <w:t>[Figure 1 about here]</w:t>
      </w:r>
    </w:p>
    <w:p>
      <w:pPr>
        <w:pStyle w:val="Heading2"/>
        <w:keepNext/>
        <w:numPr>
          <w:numId w:val="0"/>
        </w:numPr>
      </w:pPr>
      <w:r>
        <w:t>Verification and measurement endpoints</w:t>
      </w:r>
    </w:p>
    <w:p>
      <w:pPr>
        <w:jc w:val="left"/>
      </w:pPr>
      <w:r>
        <w:t>The detailed verification protocol and raw comparison results are reported below; the measurement endpoints follow the preceding experimental protocol.</w:t>
      </w:r>
    </w:p>
    <w:p>
      <w:pPr>
        <w:pStyle w:val="Heading1"/>
        <w:keepNext/>
        <w:numPr>
          <w:numId w:val="0"/>
        </w:numPr>
      </w:pPr>
      <w:r>
        <w:t>Results</w:t>
      </w:r>
    </w:p>
    <w:p>
      <w:pPr>
        <w:pStyle w:val="Heading2"/>
        <w:keepNext/>
        <w:numPr>
          <w:numId w:val="0"/>
        </w:numPr>
      </w:pPr>
      <w:r>
        <w:t>RQ1 Repeated arithmetic comparisons</w:t>
      </w:r>
    </w:p>
    <w:p>
      <w:pPr>
        <w:jc w:val="left"/>
      </w:pPr>
      <w:r>
        <w:t>At n=10</w:t>
      </w:r>
      <w:r>
        <w:rPr>
          <w:vertAlign w:val="superscript"/>
        </w:rPr>
        <w:t>9</w:t>
      </w:r>
      <w:r>
        <w:t xml:space="preserve"> the median times were native GMP 3.844 s, two-square 4.610 s, Lucas 5.622 s and conventional doubling 7.844 s.</w:t>
      </w:r>
    </w:p>
    <w:p>
      <w:r>
        <w:t>[Table 1 about here]</w:t>
      </w:r>
    </w:p>
    <w:p>
      <w:pPr>
        <w:jc w:val="left"/>
      </w:pPr>
      <w:r>
        <w:t>Note: Five fresh-process trials per algorithm and scale; only medians appear here. Linearly interpolated Q1, Q3, IQR and ranges are supplied in arithmetic_summary.csv.</w:t>
      </w:r>
    </w:p>
    <w:p>
      <w:r>
        <w:t>[Figure 2 about here]</w:t>
      </w:r>
    </w:p>
    <w:p>
      <w:pPr>
        <w:pStyle w:val="Heading2"/>
        <w:keepNext/>
        <w:numPr>
          <w:numId w:val="0"/>
        </w:numPr>
      </w:pPr>
      <w:r>
        <w:t>RQ2 Arithmetic and decimal output costs</w:t>
      </w:r>
    </w:p>
    <w:p>
      <w:pPr>
        <w:jc w:val="left"/>
      </w:pPr>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pPr>
        <w:jc w:val="left"/>
      </w:pPr>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r>
        <w:t>[Table 2 about here]</w:t>
      </w:r>
    </w:p>
    <w:p>
      <w:pPr>
        <w:jc w:val="left"/>
      </w:pPr>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r>
        <w:t>[Figure 3 about here]</w:t>
      </w:r>
    </w:p>
    <w:p>
      <w:pPr>
        <w:pStyle w:val="Heading2"/>
        <w:keepNext/>
        <w:numPr>
          <w:numId w:val="0"/>
        </w:numPr>
      </w:pPr>
      <w:r>
        <w:t>RQ3 Failure evidence and completed replacement paths</w:t>
      </w:r>
    </w:p>
    <w:p>
      <w:pPr>
        <w:jc w:val="left"/>
      </w:pPr>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Median peak working set and private commitment were 1.82 and 2.46 GiB for gmpy2 2.3.1, and 1.81 and 2.46 GiB for 2.2.1, respectively;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w:t>
      </w:r>
    </w:p>
    <w:p>
      <w:pPr>
        <w:jc w:val="left"/>
      </w:pPr>
      <w:r>
        <w:t>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request equals 2</w:t>
      </w:r>
      <w:r>
        <w:rPr>
          <w:vertAlign w:val="superscript"/>
        </w:rPr>
        <w:t>64</w:t>
      </w:r>
      <w:r>
        <w:t xml:space="preserve"> minus 369,632 bytes; interpreted as a signed 64-bit integer, the same bit pattern is -369,632.</w:t>
      </w:r>
    </w:p>
    <w:p>
      <w:pPr>
        <w:jc w:val="left"/>
      </w:pPr>
      <w:r>
        <w:t>On 16 October 2026, protected processes squared b-bit sparse operands with only the highest bit set. Binary search recorded adjacent outcomes: b=2,147,352,576 succeeded and b=2,147,352,577 failed. The first failed input equals 2</w:t>
      </w:r>
      <w:r>
        <w:rPr>
          <w:vertAlign w:val="superscript"/>
        </w:rPr>
        <w:t>31</w:t>
      </w:r>
      <w:r>
        <w:t>-2</w:t>
      </w:r>
      <w:r>
        <w:rPr>
          <w:vertAlign w:val="superscript"/>
        </w:rPr>
        <w:t>17</w:t>
      </w:r>
      <w:r>
        <w:t>+1 bits; its mathematical square has 4,294,705,153 bits or 67,104,769 64-bit limbs. GMP documents 32-bit `mpz_t` size fields in limb units (The GNU MP developers, 2023f); 67,104,769 is far below 2,147,483,647 limbs, so that generic capacity does not explain the observed boundary. The same adjacent outcomes were reproduced by direct DLL calls and by a separately compiled Visual Studio 2019 x64 C program. Its core calls are `mpz_init_set_ui(x,1); mpz_init(y); mpz_mul_2exp(x,x,b-1); mpz_mul(y,x,x);`; the complete guarded reproducer is supplied. The installed 2.3.1 binary was `C:/Users/lusun/AppData/Roaming/Python/Python313/site-packages/gmpy2.libs/libgmp-10.dll` (SHA-256 `829adcf025d22e641c6816b431fbe5b226a39b390c7205192d480151646fe9c9`). The distinct 2.2.1 wheel DLL (SHA-256 `fb2d312ca861c18e8b23648ac8440b0b613b1930ceff58f48b48ba2d3bd6b186`) had the same adjacent outcomes and a full-width failed request of 2</w:t>
      </w:r>
      <w:r>
        <w:rPr>
          <w:vertAlign w:val="superscript"/>
        </w:rPr>
        <w:t>64</w:t>
      </w:r>
      <w:r>
        <w:t>-523,232 bytes. The C runs confirmed both binaries, but did not measure the internal FFT rounded length or identify a source expression. The fault is therefore in the examined DLLs' large-operand square/multiplication paths or allocation-size propagation, rather than requiring the Fibonacci recurrence, decimal conversion or Python binding. The observed wraparound supports a size-arithmetic fault; its specific expression and internal multiplication branch remain unlocated. The isolated probes, full-width traces and both DLL hashes are supplied with the supplementary evidence. The adjacent pair is an observed sparse-input transition, not a proven universal minimum; FFT rounding length remains unmeasured.</w:t>
      </w:r>
    </w:p>
    <w:p>
      <w:r>
        <w:t>[Table 3 about here]</w:t>
      </w:r>
    </w:p>
    <w:p>
      <w:pPr>
        <w:jc w:val="left"/>
      </w:pPr>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They do not constitute a patch to the original GMP binary, nor establish that all Windows GMP builds fail or that all Linux builds succeed.</w:t>
      </w:r>
    </w:p>
    <w:p>
      <w:pPr>
        <w:jc w:val="left"/>
      </w:pPr>
      <w:r>
        <w:t>The retained C and Python writers both use 4,000,000-digit leaves, but C calls MPIR mpz_tdiv_qr/mpz_get_str and fwrite whereas Python calls GMP f_divmod/digits and writes through a Python file object. The MPIR release also performs width correction and status reporting. Linux output was written under WSL2 /tmp and Windows output to C:. Conversion, padding, runtime I/O and storage waits were not measured separately, so the timing gap cannot be attributed to any one of them. Retained C source is not a binary-matched rebuild of the release.</w:t>
      </w:r>
    </w:p>
    <w:p>
      <w:pPr>
        <w:jc w:val="left"/>
      </w:pPr>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r>
        <w:t>[Table 4 about here]</w:t>
      </w:r>
    </w:p>
    <w:p>
      <w:pPr>
        <w:pStyle w:val="Heading2"/>
        <w:keepNext/>
        <w:numPr>
          <w:numId w:val="0"/>
        </w:numPr>
      </w:pPr>
      <w:r>
        <w:t>RQ4 Full artifacts and reference provenance</w:t>
      </w:r>
    </w:p>
    <w:p>
      <w:pPr>
        <w:jc w:val="left"/>
      </w:pPr>
      <w:r>
        <w:t>All five newly generated files contain 2,089,876,403 decimal digits. The digit-only payloads agree in SHA-256 and full byte comparison after the MPIR prefix is removed. Their common digest is shown below.</w:t>
      </w:r>
    </w:p>
    <w:p>
      <w:pPr>
        <w:spacing w:after="20"/>
        <w:jc w:val="center"/>
      </w:pPr>
      <w:r>
        <w:rPr>
          <w:rFonts w:ascii="Courier New" w:hAnsi="Courier New"/>
          <w:sz w:val="18"/>
        </w:rPr>
        <w:t>6fa62cdd9d65374354899719d9a58122</w:t>
      </w:r>
    </w:p>
    <w:p>
      <w:pPr>
        <w:spacing w:after="20"/>
        <w:jc w:val="center"/>
      </w:pPr>
      <w:r>
        <w:rPr>
          <w:rFonts w:ascii="Courier New" w:hAnsi="Courier New"/>
          <w:sz w:val="18"/>
        </w:rPr>
        <w:t>2c1d497492b9bcddcb859c32bc469662</w:t>
      </w:r>
    </w:p>
    <w:p>
      <w:pPr>
        <w:jc w:val="left"/>
      </w:pPr>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r>
        <w:t>[Table 5 about here]</w:t>
      </w:r>
    </w:p>
    <w:p>
      <w:pPr>
        <w:pStyle w:val="Heading1"/>
        <w:keepNext/>
        <w:numPr>
          <w:numId w:val="0"/>
        </w:numPr>
      </w:pPr>
      <w:r>
        <w:t>Discussion</w:t>
      </w:r>
    </w:p>
    <w:p>
      <w:pPr>
        <w:jc w:val="left"/>
      </w:pPr>
      <w:r>
        <w:t>The repeated runs support treating representation conversion and backend behavior as experimentally measurable parts of a numerical workflow. The software combines established identities with process isolation and bounded-leaf output. Its contribution is an inspectable implementation and failure/repair record, rather than a new recurrence or a computational world record.</w:t>
      </w:r>
    </w:p>
    <w:p>
      <w:pPr>
        <w:jc w:val="left"/>
      </w:pPr>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pPr>
        <w:jc w:val="left"/>
      </w:pPr>
      <w:r>
        <w:t>The wrapped allocation size is established by the full-width callback and direct DLL probe; the responsible source expression has not been established by a binary-matched source build or native stack analysis.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Conclusions</w:t>
      </w:r>
    </w:p>
    <w:p>
      <w:pPr>
        <w:jc w:val="left"/>
      </w:pPr>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Broader platform claims and the specific overflowing source expression require additional controlled evidence.</w:t>
      </w:r>
    </w:p>
    <w:p>
      <w:pPr>
        <w:jc w:val="left"/>
      </w:pPr>
      <w:r>
        <w:t>Full output agrees with direct library evaluation, and modular checks satisfy the tested arithmetic relations. This is consistency evidence: the Linux paths share GMP and established identities, and matching SHA-256 digests do not independently prove numerical correctness. No independent implementation or formal correctness proof is provided.</w:t>
      </w:r>
    </w:p>
    <w:p>
      <w:pPr>
        <w:pStyle w:val="Heading1"/>
        <w:keepNext/>
        <w:numPr>
          <w:numId w:val="0"/>
        </w:numPr>
      </w:pPr>
      <w:r>
        <w:t>Additional information and declarations</w:t>
      </w:r>
    </w:p>
    <w:p>
      <w:pPr>
        <w:jc w:val="left"/>
      </w:pPr>
      <w:r>
        <w:t>The software remains MIT-licensed at the pinned public Git revision (Lu, 2026).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the package does not claim that a public archive or DOI already exists. Historical files retain their original provenance qualifications. Software citation follows version-specific identification (Smith et al., 2016).</w:t>
      </w:r>
    </w:p>
    <w:p>
      <w:pPr>
        <w:jc w:val="left"/>
      </w:pPr>
      <w:r>
        <w:t>Xudong Lu conceived and supervised the project, assembled the experimental record, and is responsible for reviewing the analysis and the final manuscript.</w:t>
      </w:r>
    </w:p>
    <w:p>
      <w:pPr>
        <w:jc w:val="left"/>
      </w:pPr>
      <w:r>
        <w:t>AI assistance: AI tools assisted software development, experimental orchestration and evidence processing, and manuscript drafting, translation, and editing. Their use does not establish validity of the numerical claims. The author is responsible for scientific judgment, evidence verification, and the final submission text, and takes responsibility for all content in the manuscript; AI systems are not authors. There were no human-subject or animal experiments.</w:t>
      </w:r>
    </w:p>
    <w:p>
      <w:pPr>
        <w:pStyle w:val="Heading1"/>
        <w:keepNext/>
        <w:numPr>
          <w:numId w:val="0"/>
        </w:numPr>
      </w:pPr>
      <w:r>
        <w:t>References</w:t>
      </w:r>
    </w:p>
    <w:p>
      <w:pPr>
        <w:keepLines/>
        <w:spacing w:after="80"/>
        <w:jc w:val="left"/>
      </w:pPr>
      <w:r>
        <w:t>Brent RP, Zimmermann P. 2010. Modern Computer Arithmetic. Cambridge University Press. https://doi.org/10.1017/CBO9780511921698</w:t>
      </w:r>
    </w:p>
    <w:p>
      <w:pPr>
        <w:keepLines/>
        <w:spacing w:after="80"/>
        <w:jc w:val="left"/>
      </w:pPr>
      <w:r>
        <w:t>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Lu X. 2026. Fibonacci 10 Billion Calculator. Python v4.3, Git revision f0c5f2488432524d6edb781cbabe1bbca2a79b6d. MIT license. https://github.com/sr-lxd/fibonacci-10-billion-calculator/tree/f0c5f2488432524d6edb781cbabe1bbca2a79b6d</w:t>
      </w:r>
    </w:p>
    <w:p>
      <w:pPr>
        <w:keepLines/>
        <w:spacing w:after="80"/>
        <w:jc w:val="left"/>
      </w:pPr>
      <w:r>
        <w:t>Microsoft. n.d.-a. Abstract data models. Windows application development documentation. Accessed 14 October 2026. https://learn.microsoft.com/en-us/windows/win32/winprog64/abstract-data-models</w:t>
      </w:r>
    </w:p>
    <w:p>
      <w:pPr>
        <w:keepLines/>
        <w:spacing w:after="80"/>
        <w:jc w:val="left"/>
      </w:pPr>
      <w:r>
        <w:t>Python Software Foundation. n.d.-a. subprocess: Subprocess management. Python 3.13 documentation. Accessed 14 October 2026. https://docs.python.org/3.13/library/subprocess.html</w:t>
      </w:r>
    </w:p>
    <w:p>
      <w:pPr>
        <w:keepLines/>
        <w:spacing w:after="80"/>
        <w:jc w:val="left"/>
      </w:pPr>
      <w:r>
        <w:t>Smith AM, Katz DS, Niemeyer KE, FORCE11 Software Citation Working Group. 2016. Software citation principles. PeerJ Computer Science 2:e86. https://doi.org/10.7717/peerj-cs.86</w:t>
      </w:r>
    </w:p>
    <w:p>
      <w:pPr>
        <w:keepLines/>
        <w:spacing w:after="80"/>
        <w:jc w:val="left"/>
      </w:pPr>
      <w:r>
        <w:t>Sofroniou M. 2013. mpn_mul_fft type overflow issue. GMP developers mailing list, 18 September 2013. https://gmplib.org/list-archives/gmp-devel/2013-September/003365.html</w:t>
      </w:r>
    </w:p>
    <w:p>
      <w:pPr>
        <w:keepLines/>
        <w:spacing w:after="80"/>
        <w:jc w:val="left"/>
      </w:pPr>
      <w:r>
        <w:t>The gmpy2 contributors. n.d. Multiple-precision integers. gmpy2 documentation. Accessed 14 October 2026. https://gmpy2.readthedocs.io/en/latest/mpz.html</w:t>
      </w:r>
    </w:p>
    <w:p>
      <w:pPr>
        <w:keepLines/>
        <w:spacing w:after="80"/>
        <w:jc w:val="left"/>
      </w:pPr>
      <w:r>
        <w:t>The GNU MP developers. 2023a. Fibonacci Numbers Algorithm. GNU MP 6.3.0 manual. https://gmplib.org/manual/Fibonacci-Numbers-Algorithm</w:t>
      </w:r>
    </w:p>
    <w:p>
      <w:pPr>
        <w:keepLines/>
        <w:spacing w:after="80"/>
        <w:jc w:val="left"/>
      </w:pPr>
      <w:r>
        <w:t>The GNU MP developers. 2023b. FFT Multiplication. GNU MP 6.3.0 manual. https://gmplib.org/manual/FFT-Multiplication</w:t>
      </w:r>
    </w:p>
    <w:p>
      <w:pPr>
        <w:keepLines/>
        <w:spacing w:after="80"/>
        <w:jc w:val="left"/>
      </w:pPr>
      <w:r>
        <w:t>The GNU MP developers. 2023c. Memory Management. GNU MP 6.3.0 manual. https://gmplib.org/manual/Memory-Management</w:t>
      </w:r>
    </w:p>
    <w:p>
      <w:pPr>
        <w:keepLines/>
        <w:spacing w:after="80"/>
        <w:jc w:val="left"/>
      </w:pPr>
      <w:r>
        <w:t>The GNU MP developers. 2023d. Number Theoretic Functions. GNU MP 6.3.0 manual. https://gmplib.org/manual/Number-Theoretic-Functions</w:t>
      </w:r>
    </w:p>
    <w:p>
      <w:pPr>
        <w:keepLines/>
        <w:spacing w:after="80"/>
        <w:jc w:val="left"/>
      </w:pPr>
      <w:r>
        <w:t>The GNU MP developers. 2023e. Binary to Radix. GNU MP 6.3.0 manual. https://gmplib.org/manual/Binary-to-Radix</w:t>
      </w:r>
    </w:p>
    <w:p>
      <w:pPr>
        <w:keepLines/>
        <w:spacing w:after="80"/>
        <w:jc w:val="left"/>
      </w:pPr>
      <w:r>
        <w:t>The GNU MP developers. 2023f. Integer Internals. GNU MP 6.3.0 manual. https://gmplib.org/manual/Integer-Internals</w:t>
      </w:r>
    </w:p>
    <w:p>
      <w:pPr>
        <w:keepLines/>
        <w:spacing w:after="80"/>
        <w:jc w:val="left"/>
      </w:pPr>
      <w:r>
        <w:t>The MPFR developers. 2025. GNU MPFR 4.2.2 manual. https://www.mpfr.org/mpfr-current/mpfr.html</w:t>
      </w:r>
    </w:p>
    <w:p>
      <w:pPr>
        <w:pStyle w:val="Heading1"/>
        <w:keepNext/>
        <w:numPr>
          <w:numId w:val="0"/>
        </w:numPr>
      </w:pPr>
      <w:r>
        <w:t>Figure legends</w:t>
      </w:r>
    </w:p>
    <w:p>
      <w:r>
        <w:t>Figure 1. Measured execution and verification workflow. Trial counts distinguish two-square runs from the direct-library control; agreement checks are not an independent correctness proof.</w:t>
      </w:r>
    </w:p>
    <w:p>
      <w:r>
        <w:t>Figure 2. Arithmetic medians with interquartile ranges, five fresh-process trials per algorithm and scale.</w:t>
      </w:r>
    </w:p>
    <w:p>
      <w:r>
        <w:t>Figure 3. Three WSL2 two-square full-output trials at n=10^10; bars are medians and error bars the observed range. The Native control is excluded. Conversion includes close; fsync is separate.</w:t>
      </w:r>
    </w:p>
    <w:sectPr w:rsidR="00B77860" w:rsidRPr="00800358" w:rsidSect="00932E96">
      <w:headerReference w:type="default" r:id="rId14"/>
      <w:footerReference w:type="default" r:id="rId15"/>
      <w:pgSz w:w="12240" w:h="15840"/>
      <w:pgMar w:top="1440" w:right="1440" w:bottom="1440" w:left="1440" w:header="720" w:footer="720" w:gutter="0"/>
      <w:pgNumType w:start="1"/>
      <w:cols w:space="720"/>
      <w:lnNumType w:countBy="1" w:restart="continuous" w:distan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3B317F7"/>
    <w:multiLevelType w:val="hybridMultilevel"/>
    <w:tmpl w:val="0DB8B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A8D2CFF"/>
    <w:multiLevelType w:val="hybridMultilevel"/>
    <w:tmpl w:val="39143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FD3F3D"/>
    <w:multiLevelType w:val="hybridMultilevel"/>
    <w:tmpl w:val="A0F67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BD1548"/>
    <w:multiLevelType w:val="hybridMultilevel"/>
    <w:tmpl w:val="6592F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C332E57"/>
    <w:multiLevelType w:val="multilevel"/>
    <w:tmpl w:val="F9EA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Moves/>
  <w:defaultTabStop w:val="720"/>
  <w:characterSpacingControl w:val="doNotCompress"/>
  <w:compat>
    <w:compatSetting w:name="compatibilityMode" w:uri="http://schemas.microsoft.com/office/word" w:val="12"/>
  </w:compat>
  <w:rsids>
    <w:rsidRoot w:val="00B77860"/>
    <w:rsid w:val="00076F97"/>
    <w:rsid w:val="0009553C"/>
    <w:rsid w:val="000A6459"/>
    <w:rsid w:val="0012215A"/>
    <w:rsid w:val="00131D97"/>
    <w:rsid w:val="00144190"/>
    <w:rsid w:val="00190970"/>
    <w:rsid w:val="001D1A69"/>
    <w:rsid w:val="001F07CD"/>
    <w:rsid w:val="002229AB"/>
    <w:rsid w:val="002C6BA7"/>
    <w:rsid w:val="002D3D82"/>
    <w:rsid w:val="003774B5"/>
    <w:rsid w:val="003D45F1"/>
    <w:rsid w:val="004A1F94"/>
    <w:rsid w:val="004D3C18"/>
    <w:rsid w:val="004F54AB"/>
    <w:rsid w:val="0058364F"/>
    <w:rsid w:val="005D77AE"/>
    <w:rsid w:val="00612E95"/>
    <w:rsid w:val="00653710"/>
    <w:rsid w:val="00662BED"/>
    <w:rsid w:val="00751064"/>
    <w:rsid w:val="007807F5"/>
    <w:rsid w:val="00793B71"/>
    <w:rsid w:val="007B6DD5"/>
    <w:rsid w:val="007C7029"/>
    <w:rsid w:val="007F2870"/>
    <w:rsid w:val="00800358"/>
    <w:rsid w:val="00861616"/>
    <w:rsid w:val="008A575A"/>
    <w:rsid w:val="008E2B2F"/>
    <w:rsid w:val="008E3EA1"/>
    <w:rsid w:val="00926B3F"/>
    <w:rsid w:val="00932E96"/>
    <w:rsid w:val="00951C47"/>
    <w:rsid w:val="0099516E"/>
    <w:rsid w:val="009E27BB"/>
    <w:rsid w:val="009E7441"/>
    <w:rsid w:val="00A37569"/>
    <w:rsid w:val="00A54D90"/>
    <w:rsid w:val="00AA18ED"/>
    <w:rsid w:val="00AF4906"/>
    <w:rsid w:val="00B45195"/>
    <w:rsid w:val="00B66057"/>
    <w:rsid w:val="00B77860"/>
    <w:rsid w:val="00BB0F08"/>
    <w:rsid w:val="00C260FD"/>
    <w:rsid w:val="00CC42E3"/>
    <w:rsid w:val="00D55AD8"/>
    <w:rsid w:val="00D94FB8"/>
    <w:rsid w:val="00DA534E"/>
    <w:rsid w:val="00E140AC"/>
    <w:rsid w:val="00EB04D4"/>
    <w:rsid w:val="00EC44AA"/>
    <w:rsid w:val="00FD22B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48">
      <o:colormru v:ext="edit" colors="#21fffd"/>
    </o:shapedefaults>
    <o:shapelayout v:ext="edit">
      <o:idmap v:ext="edit" data="1"/>
    </o:shapelayout>
  </w:shapeDefaults>
  <w:decimalSymbol w:val="."/>
  <w:listSeparator w:val=","/>
  <w14:docId w14:val="1EC2E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contextualSpacing/>
      </w:pPr>
    </w:pPrDefault>
  </w:docDefaults>
  <w:latentStyles w:defLockedState="0" w:defUIPriority="0" w:defSemiHidden="0" w:defUnhideWhenUsed="0" w:defQFormat="0" w:count="276">
    <w:lsdException w:name="Normal (Web)" w:uiPriority="99"/>
  </w:latentStyles>
  <w:style w:type="paragraph" w:default="1" w:styleId="Normal">
    <w:name w:val="Normal"/>
    <w:qFormat/>
    <w:rsid w:val="008A575A"/>
    <w:pPr>
      <w:spacing w:line="240" w:lineRule="auto" w:after="120"/>
      <w:jc w:val="left"/>
    </w:pPr>
    <w:rPr>
      <w:rFonts w:ascii="Times New Roman" w:hAnsi="Times New Roman"/>
      <w:color w:val="000000"/>
      <w:sz w:val="24"/>
    </w:rPr>
  </w:style>
  <w:style w:type="paragraph" w:styleId="Heading1">
    <w:name w:val="heading 1"/>
    <w:basedOn w:val="normal0"/>
    <w:next w:val="normal0"/>
    <w:rsid w:val="00B77860"/>
    <w:pPr>
      <w:keepNext/>
      <w:keepLines/>
      <w:spacing w:before="400" w:after="120"/>
      <w:outlineLvl w:val="0"/>
    </w:pPr>
    <w:rPr>
      <w:rFonts w:ascii="Times New Roman" w:hAnsi="Times New Roman"/>
      <w:color w:val="000000"/>
      <w:sz w:val="28"/>
      <w:szCs w:val="40"/>
    </w:rPr>
  </w:style>
  <w:style w:type="paragraph" w:styleId="Heading2">
    <w:name w:val="heading 2"/>
    <w:basedOn w:val="normal0"/>
    <w:next w:val="normal0"/>
    <w:rsid w:val="00B77860"/>
    <w:pPr>
      <w:keepNext/>
      <w:keepLines/>
      <w:spacing w:before="360" w:after="120"/>
      <w:outlineLvl w:val="1"/>
    </w:pPr>
    <w:rPr>
      <w:rFonts w:ascii="Times New Roman" w:hAnsi="Times New Roman"/>
      <w:color w:val="000000"/>
      <w:sz w:val="24"/>
      <w:szCs w:val="32"/>
    </w:rPr>
  </w:style>
  <w:style w:type="paragraph" w:styleId="Heading3">
    <w:name w:val="heading 3"/>
    <w:basedOn w:val="normal0"/>
    <w:next w:val="normal0"/>
    <w:rsid w:val="00B77860"/>
    <w:pPr>
      <w:keepNext/>
      <w:keepLines/>
      <w:spacing w:before="320" w:after="80"/>
      <w:outlineLvl w:val="2"/>
    </w:pPr>
    <w:rPr>
      <w:color w:val="000000"/>
      <w:sz w:val="28"/>
      <w:szCs w:val="28"/>
    </w:rPr>
  </w:style>
  <w:style w:type="paragraph" w:styleId="Heading4">
    <w:name w:val="heading 4"/>
    <w:basedOn w:val="normal0"/>
    <w:next w:val="normal0"/>
    <w:rsid w:val="00B77860"/>
    <w:pPr>
      <w:keepNext/>
      <w:keepLines/>
      <w:spacing w:before="280" w:after="80"/>
      <w:outlineLvl w:val="3"/>
    </w:pPr>
    <w:rPr>
      <w:color w:val="000000"/>
      <w:sz w:val="24"/>
      <w:szCs w:val="24"/>
    </w:rPr>
  </w:style>
  <w:style w:type="paragraph" w:styleId="Heading5">
    <w:name w:val="heading 5"/>
    <w:basedOn w:val="normal0"/>
    <w:next w:val="normal0"/>
    <w:rsid w:val="00B77860"/>
    <w:pPr>
      <w:keepNext/>
      <w:keepLines/>
      <w:spacing w:before="240" w:after="80"/>
      <w:outlineLvl w:val="4"/>
    </w:pPr>
    <w:rPr>
      <w:color w:val="000000"/>
    </w:rPr>
  </w:style>
  <w:style w:type="paragraph" w:styleId="Heading6">
    <w:name w:val="heading 6"/>
    <w:basedOn w:val="normal0"/>
    <w:next w:val="normal0"/>
    <w:rsid w:val="00B77860"/>
    <w:pPr>
      <w:keepNext/>
      <w:keepLines/>
      <w:spacing w:before="240" w:after="80"/>
      <w:outlineLvl w:val="5"/>
    </w:pPr>
    <w:rPr>
      <w:i/>
      <w:color w:val="000000"/>
    </w:rPr>
  </w:style>
  <w:style w:type="character" w:default="1" w:styleId="DefaultParagraphFont">
    <w:name w:val="Default Paragraph Font"/>
    <w:uiPriority w:val="1"/>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77860"/>
    <w:rPr>
      <w:color w:val="000000"/>
    </w:rPr>
  </w:style>
  <w:style w:type="paragraph" w:styleId="Title">
    <w:name w:val="Title"/>
    <w:basedOn w:val="normal0"/>
    <w:next w:val="normal0"/>
    <w:rsid w:val="00B77860"/>
    <w:pPr>
      <w:keepNext/>
      <w:keepLines/>
      <w:spacing w:after="60"/>
    </w:pPr>
    <w:rPr>
      <w:rFonts w:ascii="Times New Roman" w:hAnsi="Times New Roman"/>
      <w:color w:val="000000"/>
      <w:sz w:val="36"/>
      <w:szCs w:val="52"/>
    </w:rPr>
  </w:style>
  <w:style w:type="paragraph" w:styleId="Subtitle">
    <w:name w:val="Subtitle"/>
    <w:basedOn w:val="normal0"/>
    <w:next w:val="normal0"/>
    <w:rsid w:val="00B77860"/>
    <w:pPr>
      <w:keepNext/>
      <w:keepLines/>
      <w:spacing w:after="320"/>
    </w:pPr>
    <w:rPr>
      <w:color w:val="000000"/>
      <w:sz w:val="30"/>
      <w:szCs w:val="30"/>
    </w:rPr>
  </w:style>
  <w:style w:type="paragraph" w:styleId="ListParagraph">
    <w:name w:val="List Paragraph"/>
    <w:basedOn w:val="Normal"/>
    <w:rsid w:val="00FD22BE"/>
    <w:pPr>
      <w:ind w:left="720"/>
    </w:pPr>
    <w:rPr>
      <w:color w:val="000000"/>
    </w:rPr>
  </w:style>
  <w:style w:type="table" w:styleId="TableGrid">
    <w:name w:val="Table Grid"/>
    <w:basedOn w:val="TableNormal"/>
    <w:rsid w:val="00926B3F"/>
    <w:pPr>
      <w:spacing w:line="240" w:lineRule="auto"/>
    </w:pPr>
    <w:rPr>
      <w:color w:val="000000"/>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rsid w:val="007C7029"/>
    <w:rPr>
      <w:color w:val="000000"/>
      <w:u w:val="single"/>
    </w:rPr>
  </w:style>
  <w:style w:type="character" w:styleId="FollowedHyperlink">
    <w:name w:val="FollowedHyperlink"/>
    <w:basedOn w:val="DefaultParagraphFont"/>
    <w:rsid w:val="00A37569"/>
    <w:rPr>
      <w:color w:val="000000"/>
      <w:u w:val="single"/>
    </w:rPr>
  </w:style>
  <w:style w:type="paragraph" w:styleId="NormalWeb">
    <w:name w:val="Normal (Web)"/>
    <w:basedOn w:val="Normal"/>
    <w:uiPriority w:val="99"/>
    <w:rsid w:val="00AA18ED"/>
    <w:pPr>
      <w:spacing w:beforeLines="1" w:afterLines="1" w:line="240" w:lineRule="auto"/>
      <w:contextualSpacing w:val="0"/>
    </w:pPr>
    <w:rPr>
      <w:rFonts w:ascii="Times" w:hAnsi="Times" w:cs="Times New Roman"/>
      <w:color w:val="000000"/>
      <w:sz w:val="20"/>
      <w:szCs w:val="20"/>
    </w:rPr>
  </w:style>
  <w:style w:type="character" w:styleId="LineNumber">
    <w:name w:val="line number"/>
    <w:basedOn w:val="DefaultParagraphFont"/>
    <w:rsid w:val="00932E96"/>
    <w:rPr>
      <w:color w:val="000000"/>
    </w:rPr>
  </w:style>
  <w:style w:type="paragraph" w:customStyle="1" w:styleId="Caption">
    <w:name w:val="caption"/>
    <w:basedOn w:val="Normal"/>
    <w:rPr>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1082">
      <w:bodyDiv w:val="1"/>
      <w:marLeft w:val="0"/>
      <w:marRight w:val="0"/>
      <w:marTop w:val="0"/>
      <w:marBottom w:val="0"/>
      <w:divBdr>
        <w:top w:val="none" w:sz="0" w:space="0" w:color="auto"/>
        <w:left w:val="none" w:sz="0" w:space="0" w:color="auto"/>
        <w:bottom w:val="none" w:sz="0" w:space="0" w:color="auto"/>
        <w:right w:val="none" w:sz="0" w:space="0" w:color="auto"/>
      </w:divBdr>
      <w:divsChild>
        <w:div w:id="371807758">
          <w:marLeft w:val="0"/>
          <w:marRight w:val="0"/>
          <w:marTop w:val="0"/>
          <w:marBottom w:val="0"/>
          <w:divBdr>
            <w:top w:val="none" w:sz="0" w:space="0" w:color="auto"/>
            <w:left w:val="none" w:sz="0" w:space="0" w:color="auto"/>
            <w:bottom w:val="none" w:sz="0" w:space="0" w:color="auto"/>
            <w:right w:val="none" w:sz="0" w:space="0" w:color="auto"/>
          </w:divBdr>
          <w:divsChild>
            <w:div w:id="395707977">
              <w:marLeft w:val="0"/>
              <w:marRight w:val="0"/>
              <w:marTop w:val="0"/>
              <w:marBottom w:val="0"/>
              <w:divBdr>
                <w:top w:val="none" w:sz="0" w:space="0" w:color="auto"/>
                <w:left w:val="none" w:sz="0" w:space="0" w:color="auto"/>
                <w:bottom w:val="none" w:sz="0" w:space="0" w:color="auto"/>
                <w:right w:val="none" w:sz="0" w:space="0" w:color="auto"/>
              </w:divBdr>
              <w:divsChild>
                <w:div w:id="137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0050">
      <w:bodyDiv w:val="1"/>
      <w:marLeft w:val="0"/>
      <w:marRight w:val="0"/>
      <w:marTop w:val="0"/>
      <w:marBottom w:val="0"/>
      <w:divBdr>
        <w:top w:val="none" w:sz="0" w:space="0" w:color="auto"/>
        <w:left w:val="none" w:sz="0" w:space="0" w:color="auto"/>
        <w:bottom w:val="none" w:sz="0" w:space="0" w:color="auto"/>
        <w:right w:val="none" w:sz="0" w:space="0" w:color="auto"/>
      </w:divBdr>
    </w:div>
    <w:div w:id="122771804">
      <w:bodyDiv w:val="1"/>
      <w:marLeft w:val="0"/>
      <w:marRight w:val="0"/>
      <w:marTop w:val="0"/>
      <w:marBottom w:val="0"/>
      <w:divBdr>
        <w:top w:val="none" w:sz="0" w:space="0" w:color="auto"/>
        <w:left w:val="none" w:sz="0" w:space="0" w:color="auto"/>
        <w:bottom w:val="none" w:sz="0" w:space="0" w:color="auto"/>
        <w:right w:val="none" w:sz="0" w:space="0" w:color="auto"/>
      </w:divBdr>
      <w:divsChild>
        <w:div w:id="2109545040">
          <w:marLeft w:val="0"/>
          <w:marRight w:val="0"/>
          <w:marTop w:val="0"/>
          <w:marBottom w:val="0"/>
          <w:divBdr>
            <w:top w:val="none" w:sz="0" w:space="0" w:color="auto"/>
            <w:left w:val="none" w:sz="0" w:space="0" w:color="auto"/>
            <w:bottom w:val="none" w:sz="0" w:space="0" w:color="auto"/>
            <w:right w:val="none" w:sz="0" w:space="0" w:color="auto"/>
          </w:divBdr>
          <w:divsChild>
            <w:div w:id="1471896769">
              <w:marLeft w:val="0"/>
              <w:marRight w:val="0"/>
              <w:marTop w:val="0"/>
              <w:marBottom w:val="0"/>
              <w:divBdr>
                <w:top w:val="none" w:sz="0" w:space="0" w:color="auto"/>
                <w:left w:val="none" w:sz="0" w:space="0" w:color="auto"/>
                <w:bottom w:val="none" w:sz="0" w:space="0" w:color="auto"/>
                <w:right w:val="none" w:sz="0" w:space="0" w:color="auto"/>
              </w:divBdr>
              <w:divsChild>
                <w:div w:id="6071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4138">
      <w:bodyDiv w:val="1"/>
      <w:marLeft w:val="0"/>
      <w:marRight w:val="0"/>
      <w:marTop w:val="0"/>
      <w:marBottom w:val="0"/>
      <w:divBdr>
        <w:top w:val="none" w:sz="0" w:space="0" w:color="auto"/>
        <w:left w:val="none" w:sz="0" w:space="0" w:color="auto"/>
        <w:bottom w:val="none" w:sz="0" w:space="0" w:color="auto"/>
        <w:right w:val="none" w:sz="0" w:space="0" w:color="auto"/>
      </w:divBdr>
      <w:divsChild>
        <w:div w:id="668601695">
          <w:marLeft w:val="0"/>
          <w:marRight w:val="0"/>
          <w:marTop w:val="0"/>
          <w:marBottom w:val="0"/>
          <w:divBdr>
            <w:top w:val="none" w:sz="0" w:space="0" w:color="auto"/>
            <w:left w:val="none" w:sz="0" w:space="0" w:color="auto"/>
            <w:bottom w:val="none" w:sz="0" w:space="0" w:color="auto"/>
            <w:right w:val="none" w:sz="0" w:space="0" w:color="auto"/>
          </w:divBdr>
          <w:divsChild>
            <w:div w:id="1095051198">
              <w:marLeft w:val="0"/>
              <w:marRight w:val="0"/>
              <w:marTop w:val="0"/>
              <w:marBottom w:val="0"/>
              <w:divBdr>
                <w:top w:val="none" w:sz="0" w:space="0" w:color="auto"/>
                <w:left w:val="none" w:sz="0" w:space="0" w:color="auto"/>
                <w:bottom w:val="none" w:sz="0" w:space="0" w:color="auto"/>
                <w:right w:val="none" w:sz="0" w:space="0" w:color="auto"/>
              </w:divBdr>
              <w:divsChild>
                <w:div w:id="136524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33078">
      <w:bodyDiv w:val="1"/>
      <w:marLeft w:val="0"/>
      <w:marRight w:val="0"/>
      <w:marTop w:val="0"/>
      <w:marBottom w:val="0"/>
      <w:divBdr>
        <w:top w:val="none" w:sz="0" w:space="0" w:color="auto"/>
        <w:left w:val="none" w:sz="0" w:space="0" w:color="auto"/>
        <w:bottom w:val="none" w:sz="0" w:space="0" w:color="auto"/>
        <w:right w:val="none" w:sz="0" w:space="0" w:color="auto"/>
      </w:divBdr>
    </w:div>
    <w:div w:id="243951345">
      <w:bodyDiv w:val="1"/>
      <w:marLeft w:val="0"/>
      <w:marRight w:val="0"/>
      <w:marTop w:val="0"/>
      <w:marBottom w:val="0"/>
      <w:divBdr>
        <w:top w:val="none" w:sz="0" w:space="0" w:color="auto"/>
        <w:left w:val="none" w:sz="0" w:space="0" w:color="auto"/>
        <w:bottom w:val="none" w:sz="0" w:space="0" w:color="auto"/>
        <w:right w:val="none" w:sz="0" w:space="0" w:color="auto"/>
      </w:divBdr>
    </w:div>
    <w:div w:id="332338216">
      <w:bodyDiv w:val="1"/>
      <w:marLeft w:val="0"/>
      <w:marRight w:val="0"/>
      <w:marTop w:val="0"/>
      <w:marBottom w:val="0"/>
      <w:divBdr>
        <w:top w:val="none" w:sz="0" w:space="0" w:color="auto"/>
        <w:left w:val="none" w:sz="0" w:space="0" w:color="auto"/>
        <w:bottom w:val="none" w:sz="0" w:space="0" w:color="auto"/>
        <w:right w:val="none" w:sz="0" w:space="0" w:color="auto"/>
      </w:divBdr>
    </w:div>
    <w:div w:id="385035000">
      <w:bodyDiv w:val="1"/>
      <w:marLeft w:val="0"/>
      <w:marRight w:val="0"/>
      <w:marTop w:val="0"/>
      <w:marBottom w:val="0"/>
      <w:divBdr>
        <w:top w:val="none" w:sz="0" w:space="0" w:color="auto"/>
        <w:left w:val="none" w:sz="0" w:space="0" w:color="auto"/>
        <w:bottom w:val="none" w:sz="0" w:space="0" w:color="auto"/>
        <w:right w:val="none" w:sz="0" w:space="0" w:color="auto"/>
      </w:divBdr>
    </w:div>
    <w:div w:id="739837700">
      <w:bodyDiv w:val="1"/>
      <w:marLeft w:val="0"/>
      <w:marRight w:val="0"/>
      <w:marTop w:val="0"/>
      <w:marBottom w:val="0"/>
      <w:divBdr>
        <w:top w:val="none" w:sz="0" w:space="0" w:color="auto"/>
        <w:left w:val="none" w:sz="0" w:space="0" w:color="auto"/>
        <w:bottom w:val="none" w:sz="0" w:space="0" w:color="auto"/>
        <w:right w:val="none" w:sz="0" w:space="0" w:color="auto"/>
      </w:divBdr>
    </w:div>
    <w:div w:id="1163198687">
      <w:bodyDiv w:val="1"/>
      <w:marLeft w:val="0"/>
      <w:marRight w:val="0"/>
      <w:marTop w:val="0"/>
      <w:marBottom w:val="0"/>
      <w:divBdr>
        <w:top w:val="none" w:sz="0" w:space="0" w:color="auto"/>
        <w:left w:val="none" w:sz="0" w:space="0" w:color="auto"/>
        <w:bottom w:val="none" w:sz="0" w:space="0" w:color="auto"/>
        <w:right w:val="none" w:sz="0" w:space="0" w:color="auto"/>
      </w:divBdr>
    </w:div>
    <w:div w:id="1187408130">
      <w:bodyDiv w:val="1"/>
      <w:marLeft w:val="0"/>
      <w:marRight w:val="0"/>
      <w:marTop w:val="0"/>
      <w:marBottom w:val="0"/>
      <w:divBdr>
        <w:top w:val="none" w:sz="0" w:space="0" w:color="auto"/>
        <w:left w:val="none" w:sz="0" w:space="0" w:color="auto"/>
        <w:bottom w:val="none" w:sz="0" w:space="0" w:color="auto"/>
        <w:right w:val="none" w:sz="0" w:space="0" w:color="auto"/>
      </w:divBdr>
    </w:div>
    <w:div w:id="1263883121">
      <w:bodyDiv w:val="1"/>
      <w:marLeft w:val="0"/>
      <w:marRight w:val="0"/>
      <w:marTop w:val="0"/>
      <w:marBottom w:val="0"/>
      <w:divBdr>
        <w:top w:val="none" w:sz="0" w:space="0" w:color="auto"/>
        <w:left w:val="none" w:sz="0" w:space="0" w:color="auto"/>
        <w:bottom w:val="none" w:sz="0" w:space="0" w:color="auto"/>
        <w:right w:val="none" w:sz="0" w:space="0" w:color="auto"/>
      </w:divBdr>
    </w:div>
    <w:div w:id="1378506672">
      <w:bodyDiv w:val="1"/>
      <w:marLeft w:val="0"/>
      <w:marRight w:val="0"/>
      <w:marTop w:val="0"/>
      <w:marBottom w:val="0"/>
      <w:divBdr>
        <w:top w:val="none" w:sz="0" w:space="0" w:color="auto"/>
        <w:left w:val="none" w:sz="0" w:space="0" w:color="auto"/>
        <w:bottom w:val="none" w:sz="0" w:space="0" w:color="auto"/>
        <w:right w:val="none" w:sz="0" w:space="0" w:color="auto"/>
      </w:divBdr>
    </w:div>
    <w:div w:id="1392537534">
      <w:bodyDiv w:val="1"/>
      <w:marLeft w:val="0"/>
      <w:marRight w:val="0"/>
      <w:marTop w:val="0"/>
      <w:marBottom w:val="0"/>
      <w:divBdr>
        <w:top w:val="none" w:sz="0" w:space="0" w:color="auto"/>
        <w:left w:val="none" w:sz="0" w:space="0" w:color="auto"/>
        <w:bottom w:val="none" w:sz="0" w:space="0" w:color="auto"/>
        <w:right w:val="none" w:sz="0" w:space="0" w:color="auto"/>
      </w:divBdr>
    </w:div>
    <w:div w:id="1424184490">
      <w:bodyDiv w:val="1"/>
      <w:marLeft w:val="0"/>
      <w:marRight w:val="0"/>
      <w:marTop w:val="0"/>
      <w:marBottom w:val="0"/>
      <w:divBdr>
        <w:top w:val="none" w:sz="0" w:space="0" w:color="auto"/>
        <w:left w:val="none" w:sz="0" w:space="0" w:color="auto"/>
        <w:bottom w:val="none" w:sz="0" w:space="0" w:color="auto"/>
        <w:right w:val="none" w:sz="0" w:space="0" w:color="auto"/>
      </w:divBdr>
    </w:div>
    <w:div w:id="1603108410">
      <w:bodyDiv w:val="1"/>
      <w:marLeft w:val="0"/>
      <w:marRight w:val="0"/>
      <w:marTop w:val="0"/>
      <w:marBottom w:val="0"/>
      <w:divBdr>
        <w:top w:val="none" w:sz="0" w:space="0" w:color="auto"/>
        <w:left w:val="none" w:sz="0" w:space="0" w:color="auto"/>
        <w:bottom w:val="none" w:sz="0" w:space="0" w:color="auto"/>
        <w:right w:val="none" w:sz="0" w:space="0" w:color="auto"/>
      </w:divBdr>
      <w:divsChild>
        <w:div w:id="1499350066">
          <w:marLeft w:val="0"/>
          <w:marRight w:val="0"/>
          <w:marTop w:val="0"/>
          <w:marBottom w:val="0"/>
          <w:divBdr>
            <w:top w:val="none" w:sz="0" w:space="0" w:color="auto"/>
            <w:left w:val="none" w:sz="0" w:space="0" w:color="auto"/>
            <w:bottom w:val="none" w:sz="0" w:space="0" w:color="auto"/>
            <w:right w:val="none" w:sz="0" w:space="0" w:color="auto"/>
          </w:divBdr>
          <w:divsChild>
            <w:div w:id="2091078717">
              <w:marLeft w:val="0"/>
              <w:marRight w:val="0"/>
              <w:marTop w:val="0"/>
              <w:marBottom w:val="0"/>
              <w:divBdr>
                <w:top w:val="none" w:sz="0" w:space="0" w:color="auto"/>
                <w:left w:val="none" w:sz="0" w:space="0" w:color="auto"/>
                <w:bottom w:val="none" w:sz="0" w:space="0" w:color="auto"/>
                <w:right w:val="none" w:sz="0" w:space="0" w:color="auto"/>
              </w:divBdr>
              <w:divsChild>
                <w:div w:id="18570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911856">
      <w:bodyDiv w:val="1"/>
      <w:marLeft w:val="0"/>
      <w:marRight w:val="0"/>
      <w:marTop w:val="0"/>
      <w:marBottom w:val="0"/>
      <w:divBdr>
        <w:top w:val="none" w:sz="0" w:space="0" w:color="auto"/>
        <w:left w:val="none" w:sz="0" w:space="0" w:color="auto"/>
        <w:bottom w:val="none" w:sz="0" w:space="0" w:color="auto"/>
        <w:right w:val="none" w:sz="0" w:space="0" w:color="auto"/>
      </w:divBdr>
      <w:divsChild>
        <w:div w:id="2146925402">
          <w:marLeft w:val="0"/>
          <w:marRight w:val="0"/>
          <w:marTop w:val="0"/>
          <w:marBottom w:val="0"/>
          <w:divBdr>
            <w:top w:val="none" w:sz="0" w:space="0" w:color="auto"/>
            <w:left w:val="none" w:sz="0" w:space="0" w:color="auto"/>
            <w:bottom w:val="none" w:sz="0" w:space="0" w:color="auto"/>
            <w:right w:val="none" w:sz="0" w:space="0" w:color="auto"/>
          </w:divBdr>
          <w:divsChild>
            <w:div w:id="1816020239">
              <w:marLeft w:val="0"/>
              <w:marRight w:val="0"/>
              <w:marTop w:val="0"/>
              <w:marBottom w:val="0"/>
              <w:divBdr>
                <w:top w:val="none" w:sz="0" w:space="0" w:color="auto"/>
                <w:left w:val="none" w:sz="0" w:space="0" w:color="auto"/>
                <w:bottom w:val="none" w:sz="0" w:space="0" w:color="auto"/>
                <w:right w:val="none" w:sz="0" w:space="0" w:color="auto"/>
              </w:divBdr>
              <w:divsChild>
                <w:div w:id="7721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9891">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s://peerj.com/about/policies-and-procedures/" TargetMode="Externa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hyperlink" Target="https://peerj.com/about/author-instructions" TargetMode="External"/><Relationship Id="rId7" Type="http://schemas.openxmlformats.org/officeDocument/2006/relationships/hyperlink" Target="https://peerj.com/about/author-instructions/" TargetMode="External"/><Relationship Id="rId8" Type="http://schemas.openxmlformats.org/officeDocument/2006/relationships/hyperlink" Target="https://peerj.com/about/author-instructions/" TargetMode="External"/><Relationship Id="rId9" Type="http://schemas.openxmlformats.org/officeDocument/2006/relationships/hyperlink" Target="https://peerj.com/about/author-instructions/" TargetMode="External"/><Relationship Id="rId10" Type="http://schemas.openxmlformats.org/officeDocument/2006/relationships/hyperlink" Target="https://peerj.com/about/policies-and-procedures/" TargetMode="External"/><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4</Pages>
  <Words>145</Words>
  <Characters>828</Characters>
  <Application>Microsoft Macintosh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n/a</Company>
  <LinksUpToDate>false</LinksUpToDate>
  <CharactersWithSpaces>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Xudong Lu</cp:lastModifiedBy>
  <cp:revision>42</cp:revision>
  <dcterms:created xsi:type="dcterms:W3CDTF">2018-09-06T06:29:00Z</dcterms:created>
  <dcterms:modified xsi:type="dcterms:W3CDTF">2018-12-12T15:46:00Z</dcterms:modified>
  <dc:creator>Xudong Lu</dc:creator>
  <dc:subject>Local journal-specific research manuscript drafts</dc:subject>
  <dc:title>Arithmetic and decimal output costs in a home computer calculation of the ten billionth Fibonacci number</dc:title>
</cp:coreProperties>
</file>