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 w:line="300" w:lineRule="auto"/>
        <w:jc w:val="center"/>
      </w:pPr>
      <w:r>
        <w:rPr>
          <w:rFonts w:ascii="Calibri" w:hAnsi="Calibri"/>
          <w:b/>
          <w:i w:val="0"/>
          <w:color w:val="13A8B0"/>
          <w:sz w:val="20"/>
        </w:rPr>
        <w:t>GUÍA PRÁCTICA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17324D"/>
          <w:sz w:val="56"/>
        </w:rPr>
        <w:t>Cómo leer y sustentar los informes</w:t>
      </w:r>
    </w:p>
    <w:p>
      <w:pPr>
        <w:spacing w:before="0" w:after="520" w:line="300" w:lineRule="auto"/>
        <w:jc w:val="center"/>
      </w:pPr>
      <w:r>
        <w:rPr>
          <w:rFonts w:ascii="Calibri" w:hAnsi="Calibri"/>
          <w:b/>
          <w:i w:val="0"/>
          <w:color w:val="007F86"/>
          <w:sz w:val="30"/>
        </w:rPr>
        <w:t>Informe ejecutivo e informe técnico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172433"/>
          <w:sz w:val="36"/>
        </w:rPr>
        <w:t>CyberDecisionEngine</w:t>
      </w:r>
    </w:p>
    <w:p>
      <w:pPr>
        <w:spacing w:before="0" w:after="1120" w:line="300" w:lineRule="auto"/>
        <w:jc w:val="center"/>
      </w:pPr>
      <w:r>
        <w:rPr>
          <w:rFonts w:ascii="Calibri" w:hAnsi="Calibri"/>
          <w:b w:val="0"/>
          <w:i/>
          <w:color w:val="607286"/>
          <w:sz w:val="22"/>
        </w:rPr>
        <w:t>Ciberinteligencia estratégica para decisiones trazables</w:t>
      </w:r>
    </w:p>
    <w:p>
      <w:pPr>
        <w:spacing w:before="80" w:after="180" w:line="288" w:lineRule="auto"/>
        <w:ind w:left="173" w:right="115"/>
        <w:shd w:fill="EDF5F7"/>
        <w:pBdr>
          <w:left w:val="single" w:sz="18" w:space="8" w:color="007F86"/>
        </w:pBdr>
      </w:pPr>
      <w:r>
        <w:rPr>
          <w:rFonts w:ascii="Calibri" w:hAnsi="Calibri"/>
          <w:b/>
          <w:i w:val="0"/>
          <w:color w:val="007F86"/>
          <w:sz w:val="22"/>
        </w:rPr>
        <w:t xml:space="preserve">Propósito: </w:t>
      </w:r>
      <w:r>
        <w:rPr>
          <w:rFonts w:ascii="Calibri" w:hAnsi="Calibri"/>
          <w:b w:val="0"/>
          <w:i w:val="0"/>
          <w:color w:val="172433"/>
          <w:sz w:val="22"/>
        </w:rPr>
        <w:t>Explicar, en lenguaje sencillo y defendible, de dónde sale cada dato, qué significa cada indicador, cómo se calculan los modelos y qué conclusiones sí o no pueden obtenerse.</w:t>
      </w:r>
    </w:p>
    <w:p>
      <w:pPr>
        <w:spacing w:before="440" w:after="60" w:line="300" w:lineRule="auto"/>
        <w:jc w:val="center"/>
      </w:pPr>
      <w:r>
        <w:rPr>
          <w:rFonts w:ascii="Calibri" w:hAnsi="Calibri"/>
          <w:b w:val="0"/>
          <w:i w:val="0"/>
          <w:color w:val="607286"/>
          <w:sz w:val="19"/>
        </w:rPr>
        <w:t>Creado por Edwin Peñuela · Modelo desarrollado desde 2022</w:t>
      </w:r>
    </w:p>
    <w:p>
      <w:pPr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607286"/>
          <w:sz w:val="19"/>
        </w:rPr>
        <w:t>Versión de la guía 1.0 · Julio de 2026</w:t>
      </w:r>
    </w:p>
    <w:p>
      <w:r>
        <w:br w:type="page"/>
      </w:r>
    </w:p>
    <w:p>
      <w:pPr>
        <w:pStyle w:val="Heading1"/>
        <w:keepNext/>
      </w:pPr>
      <w:r>
        <w:t>1. La idea central en una página</w:t>
      </w:r>
    </w:p>
    <w:p>
      <w:pPr>
        <w:spacing w:before="80" w:after="180" w:line="288" w:lineRule="auto"/>
        <w:ind w:left="173" w:right="115"/>
        <w:shd w:fill="ECF7F2"/>
        <w:pBdr>
          <w:left w:val="single" w:sz="18" w:space="8" w:color="19785B"/>
        </w:pBdr>
      </w:pPr>
      <w:r>
        <w:rPr>
          <w:rFonts w:ascii="Calibri" w:hAnsi="Calibri"/>
          <w:b/>
          <w:i w:val="0"/>
          <w:color w:val="19785B"/>
          <w:sz w:val="22"/>
        </w:rPr>
        <w:t xml:space="preserve">Regla de oro: </w:t>
      </w:r>
      <w:r>
        <w:rPr>
          <w:rFonts w:ascii="Calibri" w:hAnsi="Calibri"/>
          <w:b w:val="0"/>
          <w:i w:val="0"/>
          <w:color w:val="172433"/>
          <w:sz w:val="22"/>
        </w:rPr>
        <w:t>El informe no empieza en una gráfica. Empieza en el alcance autorizado, continúa con registros trazables y solo termina en una decisión cuando la evidencia supera las reglas de validación.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Alcance. </w:t>
      </w:r>
      <w:r>
        <w:rPr>
          <w:rFonts w:ascii="Calibri" w:hAnsi="Calibri"/>
          <w:b w:val="0"/>
          <w:i w:val="0"/>
          <w:color w:val="172433"/>
          <w:sz w:val="22"/>
        </w:rPr>
        <w:t>El usuario define marca, grupo o conglomerado, dominios propios, ventana temporal, sectores, regiones y, cuando aplique, comparativos separados.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Recolección. </w:t>
      </w:r>
      <w:r>
        <w:rPr>
          <w:rFonts w:ascii="Calibri" w:hAnsi="Calibri"/>
          <w:b w:val="0"/>
          <w:i w:val="0"/>
          <w:color w:val="172433"/>
          <w:sz w:val="22"/>
        </w:rPr>
        <w:t>Los conectores consultan fuentes públicas y autorizadas. Cada respuesta conserva origen, fecha, URL o referencia, estado y runId.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Procesamiento. </w:t>
      </w:r>
      <w:r>
        <w:rPr>
          <w:rFonts w:ascii="Calibri" w:hAnsi="Calibri"/>
          <w:b w:val="0"/>
          <w:i w:val="0"/>
          <w:color w:val="172433"/>
          <w:sz w:val="22"/>
        </w:rPr>
        <w:t>La plataforma normaliza fechas y URLs, resuelve entidades, deduplica y separa el registro original de su representación analítica.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Validación. </w:t>
      </w:r>
      <w:r>
        <w:rPr>
          <w:rFonts w:ascii="Calibri" w:hAnsi="Calibri"/>
          <w:b w:val="0"/>
          <w:i w:val="0"/>
          <w:color w:val="172433"/>
          <w:sz w:val="22"/>
        </w:rPr>
        <w:t>Un registro se vincula a una afirmación; se documentan método, relación, contradicciones, confianza y limitaciones.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Cálculo. </w:t>
      </w:r>
      <w:r>
        <w:rPr>
          <w:rFonts w:ascii="Calibri" w:hAnsi="Calibri"/>
          <w:b w:val="0"/>
          <w:i w:val="0"/>
          <w:color w:val="172433"/>
          <w:sz w:val="22"/>
        </w:rPr>
        <w:t>Los modelos usan únicamente variables disponibles y reglas versionadas. Sin cobertura suficiente se publica N/D, no un cero inventado.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Difusión. </w:t>
      </w:r>
      <w:r>
        <w:rPr>
          <w:rFonts w:ascii="Calibri" w:hAnsi="Calibri"/>
          <w:b w:val="0"/>
          <w:i w:val="0"/>
          <w:color w:val="172433"/>
          <w:sz w:val="22"/>
        </w:rPr>
        <w:t>Dashboard, informe ejecutivo, informe técnico, JSON y CSV usan el mismo RunContext. Cambia el nivel de detalle, no la fuente de verdad.</w:t>
      </w:r>
    </w:p>
    <w:p>
      <w:pPr>
        <w:pStyle w:val="Heading2"/>
        <w:keepNext/>
      </w:pPr>
      <w:r>
        <w:t>Tres distinciones que evitan errores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Registro recolectado no equivale automáticamente a evidencia validada.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Intensidad de señales no equivale a probabilidad de ataque.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Sin datos no equivale a 0 %. Un cero requiere consulta exitosa, denominador válido y cobertura adecuada.</w:t>
      </w:r>
    </w:p>
    <w:p>
      <w:pPr>
        <w:pStyle w:val="Heading1"/>
        <w:keepNext/>
      </w:pPr>
      <w:r>
        <w:t>2. De dónde vienen los datos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480"/>
        <w:gridCol w:w="338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aporta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 de verdad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Entrada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Organización, dominios propios, términos, sector, geografía y ventana.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Queda registrada en el runId.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Fuentes públicas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OSINT, noticias, advisories, DNS, RDAP/WHOIS, TLS, páginas e índices autorizados.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URL/referencia, fecha, estado y fuente.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SOCMINT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Menciones y relaciones públicamente indexadas cuando existen.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No se dibujan nodos sin datos.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Dark Web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Índices pasivos e importaciones autorizadas; no interacción con mercados.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Metadatos minimizados y limitaciones visibles.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Catálogos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CVE/CVSS/EPSS/KEV y mapeos ATT&amp;CK, D3FEND, ATLAS, DISARM y controles.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Versión y criterio de aplicabilidad.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Histórico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Solo entra cuando se selecciona comparación o monitoreo continuo.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Una corrida nueva no reutiliza silenciosamente evidencia anterior.</w:t>
            </w:r>
          </w:p>
        </w:tc>
      </w:tr>
    </w:tbl>
    <w:p>
      <w:pPr>
        <w:spacing w:after="40"/>
      </w:pPr>
    </w:p>
    <w:p>
      <w:pPr>
        <w:spacing w:before="80" w:after="180" w:line="288" w:lineRule="auto"/>
        <w:ind w:left="173" w:right="115"/>
        <w:shd w:fill="EDF5F7"/>
        <w:pBdr>
          <w:left w:val="single" w:sz="18" w:space="8" w:color="007F86"/>
        </w:pBdr>
      </w:pPr>
      <w:r>
        <w:rPr>
          <w:rFonts w:ascii="Calibri" w:hAnsi="Calibri"/>
          <w:b/>
          <w:i w:val="0"/>
          <w:color w:val="007F86"/>
          <w:sz w:val="22"/>
        </w:rPr>
        <w:t xml:space="preserve">Cobertura operativa de conectores: </w:t>
      </w:r>
      <w:r>
        <w:rPr>
          <w:rFonts w:ascii="Calibri" w:hAnsi="Calibri"/>
          <w:b w:val="0"/>
          <w:i w:val="0"/>
          <w:color w:val="172433"/>
          <w:sz w:val="22"/>
        </w:rPr>
        <w:t>Se consulta en Configuración. Indica qué conectores fueron consultados, cuáles respondieron y cuántos registros entregaron. No mide riesgo, madurez ni ausencia de amenazas.</w:t>
      </w:r>
    </w:p>
    <w:p>
      <w:pPr>
        <w:pStyle w:val="Heading1"/>
        <w:keepNext/>
      </w:pPr>
      <w:r>
        <w:t>3. Vocabulario común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40"/>
        <w:gridCol w:w="352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Cuándo se usa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no significa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Registro recolectado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Dato recibido y normalizado.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confirma un hallazgo.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Evidencia validada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Existe relación reproducible con una afirmación y método de validación.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necesariamente confirma un incidente.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Hallazgo validado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Tiene estado validado/confirmado, método, fecha, validador y evidence_ids.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autoriza por sí solo una acción destructiva.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Alerta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Regla, umbral, responsable, acción recomendada y estado.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es sinónimo de incidente.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Riesgo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Combina plausibilidad contextual, impacto, controles y confianza.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es frecuencia observada.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SignalScore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Concentración/intensidad de señales estratégicas trazables.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es probabilidad, cumplimiento ni madurez.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Presión validada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Dirección estratégica publicada tras superar soporte y corroboración.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demuestra ataque o vulnerabilidad.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N/D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Datos insuficientes o dimensión no calculable.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No es 0 %.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Cómo leer el informe ejecutivo en 10 minutos</w:t>
      </w:r>
    </w:p>
    <w:p>
      <w:pPr>
        <w:spacing w:before="80" w:after="180" w:line="288" w:lineRule="auto"/>
        <w:ind w:left="173" w:right="115"/>
        <w:shd w:fill="EDF5F7"/>
        <w:pBdr>
          <w:left w:val="single" w:sz="18" w:space="8" w:color="007F86"/>
        </w:pBdr>
      </w:pPr>
      <w:r>
        <w:rPr>
          <w:rFonts w:ascii="Calibri" w:hAnsi="Calibri"/>
          <w:b/>
          <w:i w:val="0"/>
          <w:color w:val="007F86"/>
          <w:sz w:val="22"/>
        </w:rPr>
        <w:t xml:space="preserve">Audiencia: </w:t>
      </w:r>
      <w:r>
        <w:rPr>
          <w:rFonts w:ascii="Calibri" w:hAnsi="Calibri"/>
          <w:b w:val="0"/>
          <w:i w:val="0"/>
          <w:color w:val="172433"/>
          <w:sz w:val="22"/>
        </w:rPr>
        <w:t>Junta, CEO, comité de riesgos, CISO, líderes de fraude, legal, comunicaciones y negocio. Su función es decidir y priorizar; no sustituye el análisis técnico.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Portada y alcance. </w:t>
      </w:r>
      <w:r>
        <w:rPr>
          <w:rFonts w:ascii="Calibri" w:hAnsi="Calibri"/>
          <w:b w:val="0"/>
          <w:i w:val="0"/>
          <w:color w:val="172433"/>
          <w:sz w:val="22"/>
        </w:rPr>
        <w:t>Confirme organización, dominios, ventana, fecha del informe, runId y base de comparación. Si el alcance está mal, detenga la lectura.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Resumen ejecutivo. </w:t>
      </w:r>
      <w:r>
        <w:rPr>
          <w:rFonts w:ascii="Calibri" w:hAnsi="Calibri"/>
          <w:b w:val="0"/>
          <w:i w:val="0"/>
          <w:color w:val="172433"/>
          <w:sz w:val="22"/>
        </w:rPr>
        <w:t>Lea primero qué se encontró, nivel de confianza, limitaciones y la decisión que requiere atención.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Alertas validadas. </w:t>
      </w:r>
      <w:r>
        <w:rPr>
          <w:rFonts w:ascii="Calibri" w:hAnsi="Calibri"/>
          <w:b w:val="0"/>
          <w:i w:val="0"/>
          <w:color w:val="172433"/>
          <w:sz w:val="22"/>
        </w:rPr>
        <w:t>Verifique umbral, estado, responsable y acción. Una alerta sin esos elementos no debe tratarse como formal.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Riesgo y escenarios. </w:t>
      </w:r>
      <w:r>
        <w:rPr>
          <w:rFonts w:ascii="Calibri" w:hAnsi="Calibri"/>
          <w:b w:val="0"/>
          <w:i w:val="0"/>
          <w:color w:val="172433"/>
          <w:sz w:val="22"/>
        </w:rPr>
        <w:t>Observe riesgo inherente, residual, mapa 4x4 y bandas de sensibilidad. Pregunte qué evidencia soporta cada riesgo.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Cyber-PESTEL y Cyber-Porter. </w:t>
      </w:r>
      <w:r>
        <w:rPr>
          <w:rFonts w:ascii="Calibri" w:hAnsi="Calibri"/>
          <w:b w:val="0"/>
          <w:i w:val="0"/>
          <w:color w:val="172433"/>
          <w:sz w:val="22"/>
        </w:rPr>
        <w:t>Compare SignalScore, cobertura, confianza y presión validada. Revise los eventos que empujan o reducen cada dimensión.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Frameworks. </w:t>
      </w:r>
      <w:r>
        <w:rPr>
          <w:rFonts w:ascii="Calibri" w:hAnsi="Calibri"/>
          <w:b w:val="0"/>
          <w:i w:val="0"/>
          <w:color w:val="172433"/>
          <w:sz w:val="22"/>
        </w:rPr>
        <w:t>Úselos para orientar conversaciones de control. El porcentaje es cobertura de mapeo, no certificación ni cumplimiento.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Plan de trabajo. </w:t>
      </w:r>
      <w:r>
        <w:rPr>
          <w:rFonts w:ascii="Calibri" w:hAnsi="Calibri"/>
          <w:b w:val="0"/>
          <w:i w:val="0"/>
          <w:color w:val="172433"/>
          <w:sz w:val="22"/>
        </w:rPr>
        <w:t>Valide prioridad, horizonte, capacidad responsable, criterio de cierre y evidencia que justificó la acción.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Limitaciones. </w:t>
      </w:r>
      <w:r>
        <w:rPr>
          <w:rFonts w:ascii="Calibri" w:hAnsi="Calibri"/>
          <w:b w:val="0"/>
          <w:i w:val="0"/>
          <w:color w:val="172433"/>
          <w:sz w:val="22"/>
        </w:rPr>
        <w:t>Lea qué fuentes fallaron, qué no pudo validarse y qué no debe concluirse.</w:t>
      </w:r>
    </w:p>
    <w:p>
      <w:pPr>
        <w:spacing w:before="80" w:after="180" w:line="288" w:lineRule="auto"/>
        <w:ind w:left="173" w:right="115"/>
        <w:shd w:fill="ECF7F2"/>
        <w:pBdr>
          <w:left w:val="single" w:sz="18" w:space="8" w:color="19785B"/>
        </w:pBdr>
      </w:pPr>
      <w:r>
        <w:rPr>
          <w:rFonts w:ascii="Calibri" w:hAnsi="Calibri"/>
          <w:b/>
          <w:i w:val="0"/>
          <w:color w:val="19785B"/>
          <w:sz w:val="22"/>
        </w:rPr>
        <w:t xml:space="preserve">Frase útil para comité: </w:t>
      </w:r>
      <w:r>
        <w:rPr>
          <w:rFonts w:ascii="Calibri" w:hAnsi="Calibri"/>
          <w:b w:val="0"/>
          <w:i w:val="0"/>
          <w:color w:val="172433"/>
          <w:sz w:val="22"/>
        </w:rPr>
        <w:t>La conclusión está respaldada por registros trazables de esta corrida; la confianza y las limitaciones están separadas del impacto para evitar convertir cobertura en certeza.</w:t>
      </w:r>
    </w:p>
    <w:p>
      <w:pPr>
        <w:pStyle w:val="Heading1"/>
        <w:keepNext/>
      </w:pPr>
      <w:r>
        <w:t>5. Cómo leer el informe técnico</w:t>
      </w:r>
    </w:p>
    <w:p>
      <w:pPr>
        <w:spacing w:before="80" w:after="180" w:line="288" w:lineRule="auto"/>
        <w:ind w:left="173" w:right="115"/>
        <w:shd w:fill="EDF5F7"/>
        <w:pBdr>
          <w:left w:val="single" w:sz="18" w:space="8" w:color="007F86"/>
        </w:pBdr>
      </w:pPr>
      <w:r>
        <w:rPr>
          <w:rFonts w:ascii="Calibri" w:hAnsi="Calibri"/>
          <w:b/>
          <w:i w:val="0"/>
          <w:color w:val="007F86"/>
          <w:sz w:val="22"/>
        </w:rPr>
        <w:t xml:space="preserve">Audiencia: </w:t>
      </w:r>
      <w:r>
        <w:rPr>
          <w:rFonts w:ascii="Calibri" w:hAnsi="Calibri"/>
          <w:b w:val="0"/>
          <w:i w:val="0"/>
          <w:color w:val="172433"/>
          <w:sz w:val="22"/>
        </w:rPr>
        <w:t>CISO, CTI, SOC, vulnerabilidades, infraestructura, fraude, GRC, forense, legal técnico y responsables de remediación.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Identidad de corrida. </w:t>
      </w:r>
      <w:r>
        <w:rPr>
          <w:rFonts w:ascii="Calibri" w:hAnsi="Calibri"/>
          <w:b w:val="0"/>
          <w:i w:val="0"/>
          <w:color w:val="172433"/>
          <w:sz w:val="22"/>
        </w:rPr>
        <w:t>Compruebe runId, versiones del motor/modelos, entradas, inicio, fin y ventana.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Superficie externa. </w:t>
      </w:r>
      <w:r>
        <w:rPr>
          <w:rFonts w:ascii="Calibri" w:hAnsi="Calibri"/>
          <w:b w:val="0"/>
          <w:i w:val="0"/>
          <w:color w:val="172433"/>
          <w:sz w:val="22"/>
        </w:rPr>
        <w:t>Revise dominios, subdominios, DNS, RDAP/WHOIS, TLS, tecnologías observables y puertos solo cuando exista recolección autorizada y verificable.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Pantallazos. </w:t>
      </w:r>
      <w:r>
        <w:rPr>
          <w:rFonts w:ascii="Calibri" w:hAnsi="Calibri"/>
          <w:b w:val="0"/>
          <w:i w:val="0"/>
          <w:color w:val="172433"/>
          <w:sz w:val="22"/>
        </w:rPr>
        <w:t>Una captura demuestra qué contenido era visible al momento de la recolección. No prueba por sí sola que la interpretación sea correcta; debe enlazarse a URL, fecha, hash y afirmación.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Vulnerabilidades. </w:t>
      </w:r>
      <w:r>
        <w:rPr>
          <w:rFonts w:ascii="Calibri" w:hAnsi="Calibri"/>
          <w:b w:val="0"/>
          <w:i w:val="0"/>
          <w:color w:val="172433"/>
          <w:sz w:val="22"/>
        </w:rPr>
        <w:t>Separe CVE aplicable de CVE meramente relacionada. CVSS es severidad técnica; EPSS estima explotación; KEV indica explotación conocida.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Evidencia URL por URL. </w:t>
      </w:r>
      <w:r>
        <w:rPr>
          <w:rFonts w:ascii="Calibri" w:hAnsi="Calibri"/>
          <w:b w:val="0"/>
          <w:i w:val="0"/>
          <w:color w:val="172433"/>
          <w:sz w:val="22"/>
        </w:rPr>
        <w:t>Revise consulta, respuesta disponible, canonical_url, hash, timestamps, fuente, entidad, relación, método, contradicciones y limitaciones.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PESTEL/Porter. </w:t>
      </w:r>
      <w:r>
        <w:rPr>
          <w:rFonts w:ascii="Calibri" w:hAnsi="Calibri"/>
          <w:b w:val="0"/>
          <w:i w:val="0"/>
          <w:color w:val="172433"/>
          <w:sz w:val="22"/>
        </w:rPr>
        <w:t>Audite clusters, fuentes independientes, relación con organización/sector/geografía y regla de publicación.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Mapeos y escenarios. </w:t>
      </w:r>
      <w:r>
        <w:rPr>
          <w:rFonts w:ascii="Calibri" w:hAnsi="Calibri"/>
          <w:b w:val="0"/>
          <w:i w:val="0"/>
          <w:color w:val="172433"/>
          <w:sz w:val="22"/>
        </w:rPr>
        <w:t>ATT&amp;CK, D3FEND, ATLAS y DISARM clasifican o relacionan evidencia. Un mapeo no equivale a telemetría observada.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Cierre. </w:t>
      </w:r>
      <w:r>
        <w:rPr>
          <w:rFonts w:ascii="Calibri" w:hAnsi="Calibri"/>
          <w:b w:val="0"/>
          <w:i w:val="0"/>
          <w:color w:val="172433"/>
          <w:sz w:val="22"/>
        </w:rPr>
        <w:t>Cada hallazgo debe poder seguir la cadena afirmación → evidencia → interpretación → limitación → decisión → criterio de cierre.</w:t>
      </w:r>
    </w:p>
    <w:p>
      <w:pPr>
        <w:pStyle w:val="Heading1"/>
        <w:keepNext/>
      </w:pPr>
      <w:r>
        <w:t>6. Cómo interpretar porcentajes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200"/>
        <w:gridCol w:w="3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Lectura correcta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 común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Cobertura de conectores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Proporción/estado de conectores consultados y su respuesta operativa.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Leerla como nivel de seguridad.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Cobertura de evidencia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Masa de evidencia disponible para una dimensión.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Asumir que 100 % significa verdad absoluta.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Confianza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Calidad, diversidad, relación directa, acuerdo y extracción.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Confundirla con impacto.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SignalScore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Intensidad de señales relacionadas en escala 0–100.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Llamarla probabilidad de ataque.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Presión validada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Dirección de presión tras una puerta de publicación estricta.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Tratarla como riesgo residual.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Riesgo residual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Riesgo después de controles, con variables explícitas.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Asumir que es una pérdida monetaria.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Mapeo de frameworks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Cobertura de aspectos/control families relacionados.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7"/>
              </w:rPr>
              <w:t>Presentarlo como cumplimiento o auditoría aprobada.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Matemáticas explicadas sin perder rigor</w:t>
      </w:r>
    </w:p>
    <w:p>
      <w:pPr>
        <w:spacing w:before="80" w:after="180" w:line="288" w:lineRule="auto"/>
        <w:ind w:left="173" w:right="115"/>
        <w:shd w:fill="FFF7E8"/>
        <w:pBdr>
          <w:left w:val="single" w:sz="18" w:space="8" w:color="A66A00"/>
        </w:pBdr>
      </w:pPr>
      <w:r>
        <w:rPr>
          <w:rFonts w:ascii="Calibri" w:hAnsi="Calibri"/>
          <w:b/>
          <w:i w:val="0"/>
          <w:color w:val="A66A00"/>
          <w:sz w:val="22"/>
        </w:rPr>
        <w:t xml:space="preserve">Importante: </w:t>
      </w:r>
      <w:r>
        <w:rPr>
          <w:rFonts w:ascii="Calibri" w:hAnsi="Calibri"/>
          <w:b w:val="0"/>
          <w:i w:val="0"/>
          <w:color w:val="172433"/>
          <w:sz w:val="22"/>
        </w:rPr>
        <w:t>Las fórmulas son modelos de apoyo a la decisión. La plausibilidad contextual es heurística y versionada; no debe denominarse probabilidad calibrada si no existen métricas de calibración.</w:t>
      </w:r>
    </w:p>
    <w:p>
      <w:pPr>
        <w:pStyle w:val="Heading2"/>
        <w:keepNext/>
      </w:pPr>
      <w:r>
        <w:t>7.1 Actividad de amenazas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T = Σᵢ (wᵢ · cᵢ · 2^(−edadᵢ / vidaMediaᵢ))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Pondera fuente y confianza; reduce la influencia de señales antiguas.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A = 1 − e^(−0.35 · T)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Transforma volumen en una escala 0–1 y evita que una fuente muy prolífica domine sin límite.</w:t>
      </w:r>
    </w:p>
    <w:p>
      <w:pPr>
        <w:pStyle w:val="Heading2"/>
        <w:keepNext/>
      </w:pPr>
      <w:r>
        <w:t>7.2 Plausibilidad contextual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L = 1 / (1 + e^(−z))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La función logística acota el resultado entre 0 y 1.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z = −2.10 + 0.70A + 0.85E + 0.75V + 0.90·logit(P)/6 + 0.85K + 0.70TTP + 0.55S + 0.35G − 0.80C − 0.60D − 0.45R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A actividad; E exposición; V vulnerabilidad; P EPSS; K KEV; TTP técnicas; S sector; G geografía; C controles; D detección; R respuesta.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433"/>
          <w:sz w:val="22"/>
        </w:rPr>
        <w:t>Lógica: las señales de amenaza/exposición elevan plausibilidad; controles, detección y respuesta la reducen. Los datos ausentes no deben convertirse automáticamente en cero observado.</w:t>
      </w:r>
    </w:p>
    <w:p>
      <w:pPr>
        <w:pStyle w:val="Heading2"/>
        <w:keepNext/>
      </w:pPr>
      <w:r>
        <w:t>7.3 Impacto y controles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I = 0.25F + 0.20O + 0.20C + 0.15In + 0.10A + 0.05L + 0.05R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Impacto financiero, operativo, confidencialidad, integridad, disponibilidad, legal y reputacional; los pesos suman 1.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CE = 0.25ISO + 0.25NIST + 0.15SOC2 + 0.15D3FEND + 0.10Detección + 0.10Respuesta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La efectividad de controles reduce el riesgo, con límite del 85 % para no prometer eliminación total.</w:t>
      </w:r>
    </w:p>
    <w:p>
      <w:pPr>
        <w:pStyle w:val="Heading2"/>
        <w:keepNext/>
      </w:pPr>
      <w:r>
        <w:t>7.4 Riesgo inherente y residual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Rᵢₙₕ = 100 · L · I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Combina plausibilidad e impacto en escala 0–100.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Rᵣₑₛ = Rᵢₙₕ · [1 − min(0.85, CE)]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Aplica el efecto de los controles sin reducir el riesgo a cero por construcción.</w:t>
      </w:r>
    </w:p>
    <w:p>
      <w:pPr>
        <w:spacing w:before="80" w:after="180" w:line="288" w:lineRule="auto"/>
        <w:ind w:left="173" w:right="115"/>
        <w:shd w:fill="EDF5F7"/>
        <w:pBdr>
          <w:left w:val="single" w:sz="18" w:space="8" w:color="007F86"/>
        </w:pBdr>
      </w:pPr>
      <w:r>
        <w:rPr>
          <w:rFonts w:ascii="Calibri" w:hAnsi="Calibri"/>
          <w:b/>
          <w:i w:val="0"/>
          <w:color w:val="007F86"/>
          <w:sz w:val="22"/>
        </w:rPr>
        <w:t xml:space="preserve">Ejemplo didáctico: </w:t>
      </w:r>
      <w:r>
        <w:rPr>
          <w:rFonts w:ascii="Calibri" w:hAnsi="Calibri"/>
          <w:b w:val="0"/>
          <w:i w:val="0"/>
          <w:color w:val="172433"/>
          <w:sz w:val="22"/>
        </w:rPr>
        <w:t>Si L = 0.40, I = 0.60 y CE = 0.50, entonces R inherente = 24 y R residual = 12. Es un ejemplo matemático, no un hallazgo de una organización.</w:t>
      </w:r>
    </w:p>
    <w:p>
      <w:pPr>
        <w:pStyle w:val="Heading2"/>
        <w:keepNext/>
      </w:pPr>
      <w:r>
        <w:t>7.5 Matriz 4×4 y sensibilidad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M = nivel(L) · nivel(I), con nivel ∈ {1,2,3,4}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1–3 bajo; 4–7 medio; 8–11 alto; 12–16 crítico.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433"/>
          <w:sz w:val="22"/>
        </w:rPr>
        <w:t>Monte Carlo toma muestras beta alrededor de L, I y CE con semilla reproducible y entrega p10, p50 y p90. Son bandas de sensibilidad del modelo, no una frecuencia observada ni una predicción temporal calibrada.</w:t>
      </w:r>
    </w:p>
    <w:p>
      <w:pPr>
        <w:pStyle w:val="Heading1"/>
        <w:keepNext/>
      </w:pPr>
      <w:r>
        <w:t>8. Cyber-PESTEL y Cyber-Porter</w:t>
      </w:r>
    </w:p>
    <w:p>
      <w:pPr>
        <w:spacing w:before="80" w:after="180" w:line="288" w:lineRule="auto"/>
        <w:ind w:left="173" w:right="115"/>
        <w:shd w:fill="EDF5F7"/>
        <w:pBdr>
          <w:left w:val="single" w:sz="18" w:space="8" w:color="007F86"/>
        </w:pBdr>
      </w:pPr>
      <w:r>
        <w:rPr>
          <w:rFonts w:ascii="Calibri" w:hAnsi="Calibri"/>
          <w:b/>
          <w:i w:val="0"/>
          <w:color w:val="007F86"/>
          <w:sz w:val="22"/>
        </w:rPr>
        <w:t xml:space="preserve">Qué analizan: </w:t>
      </w:r>
      <w:r>
        <w:rPr>
          <w:rFonts w:ascii="Calibri" w:hAnsi="Calibri"/>
          <w:b w:val="0"/>
          <w:i w:val="0"/>
          <w:color w:val="172433"/>
          <w:sz w:val="22"/>
        </w:rPr>
        <w:t>PESTEL organiza presiones cibernéticas macroambientales; Porter organiza fuerzas competitivas y exposición sectorial. Ambos se calculan para la marca, grupo o conglomerado y sus dominios propios, con contexto de sector, geografía, proveedores, clientes, sustitutos y competencia declarada.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607286"/>
          <w:sz w:val="19"/>
        </w:rPr>
        <w:t>Modelo productivo: strategic-evidence-v1.3.0. Las funciones heredadas pestel_cyber_index y porter_cyber_index no son el cálculo productivo actual.</w:t>
      </w:r>
    </w:p>
    <w:p>
      <w:pPr>
        <w:pStyle w:val="Heading2"/>
        <w:keepNext/>
      </w:pPr>
      <w:r>
        <w:t>8.1 Calidad de cada contribución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qᵢ = 0.18Mᵢ + 0.16Qᵢ + 0.10Rᵢ + 0.16Dᵢ + 0.08Nᵢ + 0.12Cᵢ + 0.10Xᵢ + 0.10Gᵢ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Combina ajuste temático, calidad, recencia, relación directa, novedad, corroboración, extracción y mapeo. Los coeficientes suman 1.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m_d = Σᵢ (qᵢ · magnitudᵢ)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Masa de evidencia de la dimensión d.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cobertura_d = 1 − e^(−m_d / τ_d)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La cobertura crece con evidencia útil y se satura de forma gradual.</w:t>
      </w:r>
    </w:p>
    <w:p>
      <w:pPr>
        <w:pStyle w:val="Heading2"/>
        <w:keepNext/>
      </w:pPr>
      <w:r>
        <w:t>8.2 Intensidad, confianza y dirección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SignalScore_d = 100 · [0.65·cobertura_d + 0.20·directitud_d + 0.15·min(1, n_d/4)]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Mide intensidad/concentración de señales, no riesgo ni probabilidad.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Confianza_d = 100 · [0.20·cobertura_d + 0.80·(0.20·diversidad_d + 0.30·directitud_d + 0.20·acuerdo_d + 0.30·extracción_d)]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Separa calidad analítica de intensidad.</w:t>
      </w:r>
    </w:p>
    <w:p>
      <w:pPr>
        <w:spacing w:before="100" w:after="60"/>
        <w:jc w:val="center"/>
        <w:shd w:fill="F3F6F8"/>
        <w:pBdr>
          <w:left w:val="single" w:sz="18" w:space="8" w:color="17324D"/>
        </w:pBdr>
      </w:pPr>
      <w:r>
        <w:rPr>
          <w:rFonts w:ascii="Cambria Math" w:hAnsi="Cambria Math"/>
          <w:b w:val="0"/>
          <w:i w:val="0"/>
          <w:color w:val="17324D"/>
          <w:sz w:val="24"/>
        </w:rPr>
        <w:t>Presión_d = 50 + 50 · tanh(1.5 · z_d)</w:t>
      </w:r>
    </w:p>
    <w:p>
      <w:pPr>
        <w:spacing w:before="0" w:after="160" w:line="300" w:lineRule="auto"/>
        <w:jc w:val="center"/>
      </w:pPr>
      <w:r>
        <w:rPr>
          <w:rFonts w:ascii="Calibri" w:hAnsi="Calibri"/>
          <w:b w:val="0"/>
          <w:i/>
          <w:color w:val="607286"/>
          <w:sz w:val="19"/>
        </w:rPr>
        <w:t>z_d es la masa firmada dividida por la masa total. Solo se publica cuando el soporte supera la puerta de validación.</w:t>
      </w:r>
    </w:p>
    <w:p>
      <w:pPr>
        <w:spacing w:before="80" w:after="180" w:line="288" w:lineRule="auto"/>
        <w:ind w:left="173" w:right="115"/>
        <w:shd w:fill="ECF7F2"/>
        <w:pBdr>
          <w:left w:val="single" w:sz="18" w:space="8" w:color="19785B"/>
        </w:pBdr>
      </w:pPr>
      <w:r>
        <w:rPr>
          <w:rFonts w:ascii="Calibri" w:hAnsi="Calibri"/>
          <w:b/>
          <w:i w:val="0"/>
          <w:color w:val="19785B"/>
          <w:sz w:val="22"/>
        </w:rPr>
        <w:t xml:space="preserve">Puerta por dimensión: </w:t>
      </w:r>
      <w:r>
        <w:rPr>
          <w:rFonts w:ascii="Calibri" w:hAnsi="Calibri"/>
          <w:b w:val="0"/>
          <w:i w:val="0"/>
          <w:color w:val="172433"/>
          <w:sz w:val="22"/>
        </w:rPr>
        <w:t>m_d ≥ 0.15 y, además, al menos dos clusters directos con dos fuentes independientes, o un evento oficial crítico validado.</w:t>
      </w:r>
    </w:p>
    <w:p>
      <w:pPr>
        <w:spacing w:before="80" w:after="180" w:line="288" w:lineRule="auto"/>
        <w:ind w:left="173" w:right="115"/>
        <w:shd w:fill="FFF7E8"/>
        <w:pBdr>
          <w:left w:val="single" w:sz="18" w:space="8" w:color="A66A00"/>
        </w:pBdr>
      </w:pPr>
      <w:r>
        <w:rPr>
          <w:rFonts w:ascii="Calibri" w:hAnsi="Calibri"/>
          <w:b/>
          <w:i w:val="0"/>
          <w:color w:val="A66A00"/>
          <w:sz w:val="22"/>
        </w:rPr>
        <w:t xml:space="preserve">Puerta agregada: </w:t>
      </w:r>
      <w:r>
        <w:rPr>
          <w:rFonts w:ascii="Calibri" w:hAnsi="Calibri"/>
          <w:b w:val="0"/>
          <w:i w:val="0"/>
          <w:color w:val="172433"/>
          <w:sz w:val="22"/>
        </w:rPr>
        <w:t>Cobertura calculable ≥ 60 %, confianza global ≥ 50 y más de la mitad de dimensiones calculables. Si no se cumple, se muestra N/D y se conservan aspectos/evidencias parciales.</w:t>
      </w:r>
    </w:p>
    <w:p>
      <w:pPr>
        <w:pStyle w:val="Heading2"/>
        <w:keepNext/>
      </w:pPr>
      <w:r>
        <w:t>8.3 Dimensiones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Cyber-PESTEL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Cyber-Porter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Geopolítica y política pública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Rivalidad y presión competitiva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Economía y sostenibilidad financiera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Nuevos entrantes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Factor humano y social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Proveedores y terceros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Tecnología y dependencia digital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Clientes y canales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Resiliencia y entorno operativo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Sustitutos y cambios del mercado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Legal y regulatorio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Contexto sectorial transversal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Cómo sustentar el informe ante terceros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433"/>
          <w:sz w:val="22"/>
        </w:rPr>
        <w:t>Use esta secuencia de exposición. Mantiene la conversación en evidencia, decisión y límites.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Alcance. </w:t>
      </w:r>
      <w:r>
        <w:rPr>
          <w:rFonts w:ascii="Calibri" w:hAnsi="Calibri"/>
          <w:b w:val="0"/>
          <w:i w:val="0"/>
          <w:color w:val="172433"/>
          <w:sz w:val="22"/>
        </w:rPr>
        <w:t>Analizamos esta organización, estos dominios y esta ventana; los comparativos se mantienen separados.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Cobertura. </w:t>
      </w:r>
      <w:r>
        <w:rPr>
          <w:rFonts w:ascii="Calibri" w:hAnsi="Calibri"/>
          <w:b w:val="0"/>
          <w:i w:val="0"/>
          <w:color w:val="172433"/>
          <w:sz w:val="22"/>
        </w:rPr>
        <w:t>Estos conectores respondieron, estos fueron parciales y estas limitaciones condicionan la lectura.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Hechos. </w:t>
      </w:r>
      <w:r>
        <w:rPr>
          <w:rFonts w:ascii="Calibri" w:hAnsi="Calibri"/>
          <w:b w:val="0"/>
          <w:i w:val="0"/>
          <w:color w:val="172433"/>
          <w:sz w:val="22"/>
        </w:rPr>
        <w:t>Estos registros se recolectaron; estos pasaron validación; estos siguen como señales por revisar.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Interpretación. </w:t>
      </w:r>
      <w:r>
        <w:rPr>
          <w:rFonts w:ascii="Calibri" w:hAnsi="Calibri"/>
          <w:b w:val="0"/>
          <w:i w:val="0"/>
          <w:color w:val="172433"/>
          <w:sz w:val="22"/>
        </w:rPr>
        <w:t>El modelo explica intensidad, confianza, riesgo y contexto estratégico con métricas distintas.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Decisión. </w:t>
      </w:r>
      <w:r>
        <w:rPr>
          <w:rFonts w:ascii="Calibri" w:hAnsi="Calibri"/>
          <w:b w:val="0"/>
          <w:i w:val="0"/>
          <w:color w:val="172433"/>
          <w:sz w:val="22"/>
        </w:rPr>
        <w:t>Estas son posibilidades priorizadas, su responsable/capacidad y su criterio de cierre.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/>
          <w:b/>
          <w:i w:val="0"/>
          <w:color w:val="17324D"/>
          <w:sz w:val="22"/>
        </w:rPr>
        <w:t xml:space="preserve">Límite. </w:t>
      </w:r>
      <w:r>
        <w:rPr>
          <w:rFonts w:ascii="Calibri" w:hAnsi="Calibri"/>
          <w:b w:val="0"/>
          <w:i w:val="0"/>
          <w:color w:val="172433"/>
          <w:sz w:val="22"/>
        </w:rPr>
        <w:t>No afirmamos ataque, incidente o cumplimiento cuando la evidencia no satisface el contrato semántico.</w:t>
      </w:r>
    </w:p>
    <w:p>
      <w:pPr>
        <w:pStyle w:val="Heading2"/>
        <w:keepNext/>
      </w:pPr>
      <w:r>
        <w:t>Preguntas que debe poder responder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¿Cuál es el runId y qué datos pertenecen exactamente a esa corrida?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¿Qué demuestra la evidencia y qué no demuestra?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¿Por qué una dimensión tiene porcentaje y otra aparece N/D?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¿Qué variables elevaron el riesgo y cuáles lo redujeron?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¿Qué fuente independiente corrobora el hallazgo?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¿Cuál es el criterio de cierre y quién valida el resultado?</w:t>
      </w:r>
    </w:p>
    <w:p>
      <w:pPr>
        <w:pStyle w:val="Heading1"/>
        <w:keepNext/>
      </w:pPr>
      <w:r>
        <w:t>10. Errores de lectura frecuentes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20"/>
        <w:gridCol w:w="5440"/>
      </w:tblGrid>
      <w:tr>
        <w:trPr>
          <w:cantSplit/>
          <w:tblHeader w:val="true"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Error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Corrección</w:t>
            </w:r>
          </w:p>
        </w:tc>
      </w:tr>
      <w:tr>
        <w:trPr>
          <w:cantSplit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“El radar dice 70 %, entonces hay 70 % de probabilidad de ataque.”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Verifique qué indicador es: intensidad, riesgo o confianza. Solo llame probabilidad a un modelo calibrado.</w:t>
            </w:r>
          </w:p>
        </w:tc>
      </w:tr>
      <w:tr>
        <w:trPr>
          <w:cantSplit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“No hubo datos, entonces el valor es cero.”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Use N/D. Cero exige consulta exitosa, cobertura adecuada y denominador válido.</w:t>
            </w:r>
          </w:p>
        </w:tc>
      </w:tr>
      <w:tr>
        <w:trPr>
          <w:cantSplit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“La URL existe, por tanto el hallazgo es crítico.”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La criticidad requiere relación, condición de seguridad, impacto y validación; una URL por sí sola no basta.</w:t>
            </w:r>
          </w:p>
        </w:tc>
      </w:tr>
      <w:tr>
        <w:trPr>
          <w:cantSplit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“El mapeo NIST/ISO muestra cumplimiento.”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Muestra cobertura de mapeo de controles, no certificación ni auditoría de cumplimiento.</w:t>
            </w:r>
          </w:p>
        </w:tc>
      </w:tr>
      <w:tr>
        <w:trPr>
          <w:cantSplit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“ATT&amp;CK aparece, entonces la técnica fue observada.”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ATT&amp;CK observado exige telemetría adversaria, comportamiento, timestamp, activo y evidence_ids.</w:t>
            </w:r>
          </w:p>
        </w:tc>
      </w:tr>
      <w:tr>
        <w:trPr>
          <w:cantSplit/>
        </w:trPr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“La captura confirma la interpretación.”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6"/>
              </w:rPr>
              <w:t>La captura confirma contenido visible; la interpretación debe validarse aparte.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Checklist de revisión</w:t>
      </w:r>
    </w:p>
    <w:p>
      <w:pPr>
        <w:pStyle w:val="Heading2"/>
        <w:keepNext/>
      </w:pPr>
      <w:r>
        <w:t>Antes de aprobar el informe ejecutivo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Alcance, dominios, fecha, ventana y runId son correctos.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Cada alerta tiene regla, umbral, responsable, acción y estado.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Los porcentajes indican claramente qué miden y qué no miden.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PESTEL/Porter muestran cobertura, confianza, intensidad y presión por separado.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Las recomendaciones corresponden a hallazgos o se marcan como preventivas.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Las limitaciones y conectores parciales son visibles.</w:t>
      </w:r>
    </w:p>
    <w:p>
      <w:pPr>
        <w:pStyle w:val="Heading2"/>
        <w:keepNext/>
      </w:pPr>
      <w:r>
        <w:t>Antes de aprobar el informe técnico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Toda afirmación importante enlaza evidence_ids.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Toda evidencia tiene fuente, URL/referencia, fecha, hash y método.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Los dominios/subdominios pertenecen al alcance o se etiquetan como externos.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CVE/EPSS/KEV distinguen aplicabilidad de referencia general.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Pantallazos y URLs no están solapados y se pueden ampliar/abrir.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No hay secretos, rutas locales ni datos de otra organización.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433"/>
          <w:sz w:val="22"/>
        </w:rPr>
        <w:t>☐ JSON, CSV y HTML reflejan la misma fuente de verdad.</w:t>
      </w:r>
    </w:p>
    <w:p>
      <w:r>
        <w:br w:type="page"/>
      </w:r>
    </w:p>
    <w:p>
      <w:pPr>
        <w:pStyle w:val="Heading1"/>
        <w:keepNext/>
      </w:pPr>
      <w:r>
        <w:t>12. Glosario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Definición breve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runId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Identificador único que enlaza parámetros, recolección, análisis, dashboard, exportes e informes.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RunContext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Fuente de verdad estructurada de una corrida.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Claim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Afirmación que debe ser respaldada, limitada y decidida.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Evidence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Registro con procedencia y relación explícita con una afirmación.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Confidence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Calidad del soporte; no es impacto.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TLP/PAP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Reglas de distribución y acción permitida sobre la información.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Deduplicación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Elimina repeticiones exactas o equivalentes sin borrar el registro original.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Corroboración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Apoyo de fuentes independientes para la misma afirmación.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N/D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433"/>
                <w:sz w:val="18"/>
              </w:rPr>
              <w:t>No disponible/no calculable con la cobertura actual.</w:t>
            </w:r>
          </w:p>
        </w:tc>
      </w:tr>
    </w:tbl>
    <w:p>
      <w:pPr>
        <w:spacing w:after="40"/>
      </w:pPr>
    </w:p>
    <w:p>
      <w:pPr>
        <w:spacing w:before="80" w:after="180" w:line="288" w:lineRule="auto"/>
        <w:ind w:left="173" w:right="115"/>
        <w:shd w:fill="ECF7F2"/>
        <w:pBdr>
          <w:left w:val="single" w:sz="18" w:space="8" w:color="19785B"/>
        </w:pBdr>
      </w:pPr>
      <w:r>
        <w:rPr>
          <w:rFonts w:ascii="Calibri" w:hAnsi="Calibri"/>
          <w:b/>
          <w:i w:val="0"/>
          <w:color w:val="19785B"/>
          <w:sz w:val="22"/>
        </w:rPr>
        <w:t xml:space="preserve">Cierre: </w:t>
      </w:r>
      <w:r>
        <w:rPr>
          <w:rFonts w:ascii="Calibri" w:hAnsi="Calibri"/>
          <w:b w:val="0"/>
          <w:i w:val="0"/>
          <w:color w:val="172433"/>
          <w:sz w:val="22"/>
        </w:rPr>
        <w:t>La calidad del informe no se mide por cuántos gráficos contiene, sino por la capacidad de explicar cada afirmación, mostrar su evidencia, reconocer sus límites y convertirla en una decisión verificable.</w:t>
      </w:r>
    </w:p>
    <w:p>
      <w:pPr>
        <w:spacing w:before="360" w:after="0" w:line="300" w:lineRule="auto"/>
        <w:jc w:val="center"/>
      </w:pPr>
      <w:r>
        <w:rPr>
          <w:rFonts w:ascii="Calibri" w:hAnsi="Calibri"/>
          <w:b w:val="0"/>
          <w:i w:val="0"/>
          <w:color w:val="607286"/>
          <w:sz w:val="19"/>
        </w:rPr>
        <w:t>CyberDecisionEngine · Creado por Edwin Peñuela · 2022–2026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07286"/>
        <w:sz w:val="17"/>
      </w:rPr>
      <w:t xml:space="preserve">CyberDecisionEngine  ·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07286"/>
        <w:sz w:val="17"/>
      </w:rPr>
      <w:t>CYBERDECISIONENGINE  |  GUÍA DE LECTURA DE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7F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F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