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 w:line="264" w:lineRule="auto"/>
      </w:pPr>
      <w:r>
        <w:rPr>
          <w:rFonts w:ascii="Calibri" w:hAnsi="Calibri"/>
          <w:b/>
          <w:color w:val="5C667A"/>
          <w:sz w:val="21"/>
        </w:rPr>
        <w:t>MANUAL DE USO Y OPERACIÓN</w:t>
      </w:r>
    </w:p>
    <w:p>
      <w:pPr>
        <w:spacing w:before="0" w:after="80" w:line="252" w:lineRule="auto"/>
      </w:pPr>
      <w:r>
        <w:rPr>
          <w:rFonts w:ascii="Calibri" w:hAnsi="Calibri"/>
          <w:b/>
          <w:color w:val="0B2545"/>
          <w:sz w:val="52"/>
        </w:rPr>
        <w:t>CyberDecisionEngine</w:t>
      </w:r>
    </w:p>
    <w:p>
      <w:pPr>
        <w:spacing w:before="0" w:after="280" w:line="276" w:lineRule="auto"/>
      </w:pPr>
      <w:r>
        <w:rPr>
          <w:rFonts w:ascii="Calibri" w:hAnsi="Calibri"/>
          <w:color w:val="1F4D78"/>
          <w:sz w:val="27"/>
        </w:rPr>
        <w:t>Guía para ejecutar, configurar, entender y explicar la plataforma de ciberinteligencia, ciberriesgo y fraude para Grupo Aval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</w:r>
            <w:r>
              <w:rPr>
                <w:rFonts w:ascii="Calibri" w:hAnsi="Calibri"/>
                <w:b/>
                <w:color w:val="0B2545"/>
                <w:sz w:val="18"/>
              </w:rPr>
              <w:t>Elemento</w:t>
            </w:r>
          </w:p>
        </w:tc>
        <w:tc>
          <w:tcPr>
            <w:tcW w:type="dxa" w:w="7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</w:r>
            <w:r>
              <w:rPr>
                <w:rFonts w:ascii="Calibri" w:hAnsi="Calibri"/>
                <w:b/>
                <w:color w:val="0B2545"/>
                <w:sz w:val="18"/>
              </w:rPr>
              <w:t>Detalle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33"/>
                <w:sz w:val="18"/>
              </w:rPr>
            </w:r>
            <w:r>
              <w:rPr>
                <w:rFonts w:ascii="Calibri" w:hAnsi="Calibri"/>
                <w:b/>
                <w:color w:val="172033"/>
                <w:sz w:val="18"/>
              </w:rPr>
              <w:t>Organización objetivo</w:t>
            </w:r>
          </w:p>
        </w:tc>
        <w:tc>
          <w:tcPr>
            <w:tcW w:type="dxa" w:w="7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33"/>
                <w:sz w:val="18"/>
              </w:rPr>
            </w:r>
            <w:r>
              <w:rPr>
                <w:rFonts w:ascii="Calibri" w:hAnsi="Calibri"/>
                <w:b w:val="0"/>
                <w:color w:val="172033"/>
                <w:sz w:val="18"/>
              </w:rPr>
              <w:t>Grupo Aval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33"/>
                <w:sz w:val="18"/>
              </w:rPr>
            </w:r>
            <w:r>
              <w:rPr>
                <w:rFonts w:ascii="Calibri" w:hAnsi="Calibri"/>
                <w:b/>
                <w:color w:val="172033"/>
                <w:sz w:val="18"/>
              </w:rPr>
              <w:t>Sector configurado</w:t>
            </w:r>
          </w:p>
        </w:tc>
        <w:tc>
          <w:tcPr>
            <w:tcW w:type="dxa" w:w="7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33"/>
                <w:sz w:val="18"/>
              </w:rPr>
            </w:r>
            <w:r>
              <w:rPr>
                <w:rFonts w:ascii="Calibri" w:hAnsi="Calibri"/>
                <w:b w:val="0"/>
                <w:color w:val="172033"/>
                <w:sz w:val="18"/>
              </w:rPr>
              <w:t>multi_sector_financial_holding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33"/>
                <w:sz w:val="18"/>
              </w:rPr>
            </w:r>
            <w:r>
              <w:rPr>
                <w:rFonts w:ascii="Calibri" w:hAnsi="Calibri"/>
                <w:b/>
                <w:color w:val="172033"/>
                <w:sz w:val="18"/>
              </w:rPr>
              <w:t>País</w:t>
            </w:r>
          </w:p>
        </w:tc>
        <w:tc>
          <w:tcPr>
            <w:tcW w:type="dxa" w:w="7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33"/>
                <w:sz w:val="18"/>
              </w:rPr>
            </w:r>
            <w:r>
              <w:rPr>
                <w:rFonts w:ascii="Calibri" w:hAnsi="Calibri"/>
                <w:b w:val="0"/>
                <w:color w:val="172033"/>
                <w:sz w:val="18"/>
              </w:rPr>
              <w:t>CO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33"/>
                <w:sz w:val="18"/>
              </w:rPr>
            </w:r>
            <w:r>
              <w:rPr>
                <w:rFonts w:ascii="Calibri" w:hAnsi="Calibri"/>
                <w:b/>
                <w:color w:val="172033"/>
                <w:sz w:val="18"/>
              </w:rPr>
              <w:t>Fecha de generación</w:t>
            </w:r>
          </w:p>
        </w:tc>
        <w:tc>
          <w:tcPr>
            <w:tcW w:type="dxa" w:w="7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33"/>
                <w:sz w:val="18"/>
              </w:rPr>
            </w:r>
            <w:r>
              <w:rPr>
                <w:rFonts w:ascii="Calibri" w:hAnsi="Calibri"/>
                <w:b w:val="0"/>
                <w:color w:val="172033"/>
                <w:sz w:val="18"/>
              </w:rPr>
              <w:t>2026-07-07 22:47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33"/>
                <w:sz w:val="18"/>
              </w:rPr>
            </w:r>
            <w:r>
              <w:rPr>
                <w:rFonts w:ascii="Calibri" w:hAnsi="Calibri"/>
                <w:b/>
                <w:color w:val="172033"/>
                <w:sz w:val="18"/>
              </w:rPr>
              <w:t>Ruta del proyecto</w:t>
            </w:r>
          </w:p>
        </w:tc>
        <w:tc>
          <w:tcPr>
            <w:tcW w:type="dxa" w:w="7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33"/>
                <w:sz w:val="18"/>
              </w:rPr>
            </w:r>
            <w:r>
              <w:rPr>
                <w:rFonts w:ascii="Calibri" w:hAnsi="Calibri"/>
                <w:b w:val="0"/>
                <w:color w:val="172033"/>
                <w:sz w:val="18"/>
              </w:rPr>
              <w:t>/Users/edwinjavpenuela/Documents/Cyberintelligence/CyberDecisionEngine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33"/>
                <w:sz w:val="18"/>
              </w:rPr>
            </w:r>
            <w:r>
              <w:rPr>
                <w:rFonts w:ascii="Calibri" w:hAnsi="Calibri"/>
                <w:b/>
                <w:color w:val="172033"/>
                <w:sz w:val="18"/>
              </w:rPr>
              <w:t>Informe validado</w:t>
            </w:r>
          </w:p>
        </w:tc>
        <w:tc>
          <w:tcPr>
            <w:tcW w:type="dxa" w:w="7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33"/>
                <w:sz w:val="18"/>
              </w:rPr>
            </w:r>
            <w:r>
              <w:rPr>
                <w:rFonts w:ascii="Calibri" w:hAnsi="Calibri"/>
                <w:b w:val="0"/>
                <w:color w:val="172033"/>
                <w:sz w:val="18"/>
              </w:rPr>
              <w:t>reports/grupo_aval_executive.html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33"/>
                <w:sz w:val="18"/>
              </w:rPr>
            </w:r>
            <w:r>
              <w:rPr>
                <w:rFonts w:ascii="Calibri" w:hAnsi="Calibri"/>
                <w:b/>
                <w:color w:val="172033"/>
                <w:sz w:val="18"/>
              </w:rPr>
              <w:t>Datos exportados</w:t>
            </w:r>
          </w:p>
        </w:tc>
        <w:tc>
          <w:tcPr>
            <w:tcW w:type="dxa" w:w="7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33"/>
                <w:sz w:val="18"/>
              </w:rPr>
            </w:r>
            <w:r>
              <w:rPr>
                <w:rFonts w:ascii="Calibri" w:hAnsi="Calibri"/>
                <w:b w:val="0"/>
                <w:color w:val="172033"/>
                <w:sz w:val="18"/>
              </w:rPr>
              <w:t>reports/grupo_aval_executive_evidence.json y .csv</w:t>
            </w:r>
          </w:p>
        </w:tc>
      </w:tr>
    </w:tbl>
    <w:tbl>
      <w:tblPr>
        <w:tblW w:type="dxa" w:w="912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120"/>
      </w:tblGrid>
      <w:tr>
        <w:tc>
          <w:tcPr>
            <w:tcW w:type="dxa" w:w="912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fill="F4F6F9"/>
          </w:tcPr>
          <w:p>
            <w:pPr>
              <w:spacing w:before="0" w:after="40" w:line="288" w:lineRule="auto"/>
            </w:pPr>
            <w:r>
              <w:rPr>
                <w:rFonts w:ascii="Calibri" w:hAnsi="Calibri"/>
                <w:b/>
                <w:color w:val="1F4D78"/>
              </w:rPr>
              <w:t>Resumen para dirección</w:t>
            </w:r>
          </w:p>
          <w:p>
            <w:pPr>
              <w:spacing w:before="0" w:after="0" w:line="288" w:lineRule="auto"/>
            </w:pPr>
            <w:r>
              <w:rPr>
                <w:rFonts w:ascii="Calibri" w:hAnsi="Calibri"/>
                <w:sz w:val="20"/>
              </w:rPr>
              <w:t>CyberDecisionEngine convierte señales abiertas y autorizadas de ciberamenazas, fraude, vulnerabilidades, OSINT, SOCMINT y dark web indexada en riesgos priorizados, acciones por rol, mapas MITRE, forecast y evidencia auditable. No predice ataques como certeza; calcula probabilidad relativa, impacto, incertidumbre y prioridad de decisión.</w:t>
            </w:r>
          </w:p>
        </w:tc>
      </w:tr>
    </w:tbl>
    <w:p/>
    <w:p>
      <w:pPr>
        <w:pStyle w:val="Heading1"/>
        <w:keepNext/>
      </w:pPr>
      <w:r>
        <w:t>1. Qué es y para qué sirve</w:t>
      </w:r>
    </w:p>
    <w:p>
      <w:pPr>
        <w:spacing w:before="0" w:after="120" w:line="300" w:lineRule="auto"/>
      </w:pPr>
      <w:r>
        <w:rPr>
          <w:rFonts w:ascii="Calibri" w:hAnsi="Calibri"/>
        </w:rPr>
        <w:t>CyberDecisionEngine es una plataforma CLI defensiva para construir inteligencia de decisión. Su objetivo es que un CISO, un director de riesgo, fraude, tecnología, SOC, legal o continuidad pueda pasar de señales dispersas a acciones trazables y priorizadas.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sz w:val="21"/>
        </w:rPr>
        <w:t>Integra OSINT técnico, búsquedas abiertas, CTI, vulnerabilidades, fraude digital, SOCMINT público y metadatos dark web autorizados.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sz w:val="21"/>
        </w:rPr>
        <w:t>Convierte eventos en hallazgos con probabilidad contextual, impacto, riesgo inherente, riesgo residual y matriz 4x4.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sz w:val="21"/>
        </w:rPr>
        <w:t>Mapea tácticas y técnicas MITRE ATT&amp;CK y las traduce en acciones defensivas con D3FEND.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sz w:val="21"/>
        </w:rPr>
        <w:t>Incluye MITRE ATLAS para riesgos de IA, agentes y automatización.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sz w:val="21"/>
        </w:rPr>
        <w:t>Exporta evidencia en HTML, JSON y CSV para auditoría y trazabilidad.</w:t>
      </w:r>
    </w:p>
    <w:p>
      <w:pPr>
        <w:pStyle w:val="Heading1"/>
        <w:keepNext/>
      </w:pPr>
      <w:r>
        <w:t>2. Cómo ejecutarlo cuando se requiera</w:t>
      </w:r>
    </w:p>
    <w:p>
      <w:pPr>
        <w:spacing w:before="0" w:after="120" w:line="300" w:lineRule="auto"/>
      </w:pPr>
      <w:r>
        <w:rPr>
          <w:rFonts w:ascii="Calibri" w:hAnsi="Calibri"/>
        </w:rPr>
        <w:t>Desde una terminal ubicada en el proyecto:</w:t>
      </w:r>
    </w:p>
    <w:tbl>
      <w:tblPr>
        <w:tblW w:type="dxa" w:w="912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120"/>
      </w:tblGrid>
      <w:tr>
        <w:tc>
          <w:tcPr>
            <w:tcW w:type="dxa" w:w="912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fill="EEF4F8"/>
          </w:tcPr>
          <w:p>
            <w:pPr>
              <w:spacing w:before="0" w:after="0" w:line="252" w:lineRule="auto"/>
            </w:pPr>
            <w:r>
              <w:rPr>
                <w:rFonts w:ascii="Courier New" w:hAnsi="Courier New"/>
                <w:color w:val="0B2545"/>
                <w:sz w:val="17"/>
              </w:rPr>
              <w:t>cd /Users/edwinjavpenuela/Documents/Cyberintelligence/CyberDecisionEngine</w:t>
            </w:r>
            <w:r>
              <w:br/>
            </w:r>
            <w:r>
              <w:rPr>
                <w:rFonts w:ascii="Courier New" w:hAnsi="Courier New"/>
                <w:color w:val="0B2545"/>
                <w:sz w:val="17"/>
              </w:rPr>
              <w:t>source .venv/bin/activate</w:t>
            </w:r>
            <w:r>
              <w:br/>
            </w:r>
            <w:r>
              <w:rPr>
                <w:rFonts w:ascii="Courier New" w:hAnsi="Courier New"/>
                <w:color w:val="0B2545"/>
                <w:sz w:val="17"/>
              </w:rPr>
              <w:t>cyberdeck doctor --verbose</w:t>
            </w:r>
          </w:p>
        </w:tc>
      </w:tr>
    </w:tbl>
    <w:p/>
    <w:p>
      <w:pPr>
        <w:spacing w:before="0" w:after="120" w:line="300" w:lineRule="auto"/>
      </w:pPr>
      <w:r>
        <w:rPr>
          <w:rFonts w:ascii="Calibri" w:hAnsi="Calibri"/>
        </w:rPr>
        <w:t>Corrida recomendada para Grupo Aval con datos reales y ventana anual:</w:t>
      </w:r>
    </w:p>
    <w:tbl>
      <w:tblPr>
        <w:tblW w:type="dxa" w:w="912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120"/>
      </w:tblGrid>
      <w:tr>
        <w:tc>
          <w:tcPr>
            <w:tcW w:type="dxa" w:w="912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fill="EEF4F8"/>
          </w:tcPr>
          <w:p>
            <w:pPr>
              <w:spacing w:before="0" w:after="0" w:line="252" w:lineRule="auto"/>
            </w:pPr>
            <w:r>
              <w:rPr>
                <w:rFonts w:ascii="Courier New" w:hAnsi="Courier New"/>
                <w:color w:val="0B2545"/>
                <w:sz w:val="17"/>
              </w:rPr>
              <w:t>cyberdeck run --org config/orgs/grupo_aval.yml --mode snapshot --lookback-days 365 --html reports/grupo_aval_executive.html --real-only --verbose</w:t>
            </w:r>
            <w:r>
              <w:br/>
            </w:r>
            <w:r>
              <w:rPr>
                <w:rFonts w:ascii="Courier New" w:hAnsi="Courier New"/>
                <w:color w:val="0B2545"/>
                <w:sz w:val="17"/>
              </w:rPr>
              <w:t>open reports/grupo_aval_executive.html</w:t>
            </w:r>
          </w:p>
        </w:tc>
      </w:tr>
    </w:tbl>
    <w:p/>
    <w:p>
      <w:pPr>
        <w:spacing w:before="0" w:after="120" w:line="300" w:lineRule="auto"/>
      </w:pPr>
      <w:r>
        <w:rPr>
          <w:rFonts w:ascii="Calibri" w:hAnsi="Calibri"/>
        </w:rPr>
        <w:t>Comandos útiles adicionales: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3750"/>
        <w:gridCol w:w="3010"/>
      </w:tblGrid>
      <w:t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</w:r>
            <w:r>
              <w:rPr>
                <w:rFonts w:ascii="Calibri" w:hAnsi="Calibri"/>
                <w:b/>
                <w:color w:val="0B2545"/>
                <w:sz w:val="18"/>
              </w:rPr>
              <w:t>Comando</w:t>
            </w:r>
          </w:p>
        </w:tc>
        <w:tc>
          <w:tcPr>
            <w:tcW w:type="dxa" w:w="3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</w:r>
            <w:r>
              <w:rPr>
                <w:rFonts w:ascii="Calibri" w:hAnsi="Calibri"/>
                <w:b/>
                <w:color w:val="0B2545"/>
                <w:sz w:val="18"/>
              </w:rPr>
              <w:t>Para qué sirve</w:t>
            </w:r>
          </w:p>
        </w:tc>
        <w:tc>
          <w:tcPr>
            <w:tcW w:type="dxa" w:w="30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</w:r>
            <w:r>
              <w:rPr>
                <w:rFonts w:ascii="Calibri" w:hAnsi="Calibri"/>
                <w:b/>
                <w:color w:val="0B2545"/>
                <w:sz w:val="18"/>
              </w:rPr>
              <w:t>Cuando usarlo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33"/>
                <w:sz w:val="18"/>
              </w:rPr>
            </w:r>
            <w:r>
              <w:rPr>
                <w:rFonts w:ascii="Calibri" w:hAnsi="Calibri"/>
                <w:b w:val="0"/>
                <w:color w:val="172033"/>
                <w:sz w:val="18"/>
              </w:rPr>
              <w:t>cyberdeck doctor --verbose</w:t>
            </w:r>
          </w:p>
        </w:tc>
        <w:tc>
          <w:tcPr>
            <w:tcW w:type="dxa" w:w="3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33"/>
                <w:sz w:val="18"/>
              </w:rPr>
            </w:r>
            <w:r>
              <w:rPr>
                <w:rFonts w:ascii="Calibri" w:hAnsi="Calibri"/>
                <w:b w:val="0"/>
                <w:color w:val="172033"/>
                <w:sz w:val="18"/>
              </w:rPr>
              <w:t>Valida entorno, configuración, reportes y guardrails.</w:t>
            </w:r>
          </w:p>
        </w:tc>
        <w:tc>
          <w:tcPr>
            <w:tcW w:type="dxa" w:w="30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33"/>
                <w:sz w:val="18"/>
              </w:rPr>
            </w:r>
            <w:r>
              <w:rPr>
                <w:rFonts w:ascii="Calibri" w:hAnsi="Calibri"/>
                <w:b w:val="0"/>
                <w:color w:val="172033"/>
                <w:sz w:val="18"/>
              </w:rPr>
              <w:t>Antes de una corrida o al mover la plataforma.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33"/>
                <w:sz w:val="18"/>
              </w:rPr>
            </w:r>
            <w:r>
              <w:rPr>
                <w:rFonts w:ascii="Calibri" w:hAnsi="Calibri"/>
                <w:b w:val="0"/>
                <w:color w:val="172033"/>
                <w:sz w:val="18"/>
              </w:rPr>
              <w:t>cyberdeck frameworks sync --all --verbose</w:t>
            </w:r>
          </w:p>
        </w:tc>
        <w:tc>
          <w:tcPr>
            <w:tcW w:type="dxa" w:w="3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33"/>
                <w:sz w:val="18"/>
              </w:rPr>
            </w:r>
            <w:r>
              <w:rPr>
                <w:rFonts w:ascii="Calibri" w:hAnsi="Calibri"/>
                <w:b w:val="0"/>
                <w:color w:val="172033"/>
                <w:sz w:val="18"/>
              </w:rPr>
              <w:t>Sincroniza o reconstruye caches de frameworks/mappings.</w:t>
            </w:r>
          </w:p>
        </w:tc>
        <w:tc>
          <w:tcPr>
            <w:tcW w:type="dxa" w:w="30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33"/>
                <w:sz w:val="18"/>
              </w:rPr>
            </w:r>
            <w:r>
              <w:rPr>
                <w:rFonts w:ascii="Calibri" w:hAnsi="Calibri"/>
                <w:b w:val="0"/>
                <w:color w:val="172033"/>
                <w:sz w:val="18"/>
              </w:rPr>
              <w:t>Cuando se actualicen MITRE/NIST/ISO/SOC2 locales.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33"/>
                <w:sz w:val="18"/>
              </w:rPr>
            </w:r>
            <w:r>
              <w:rPr>
                <w:rFonts w:ascii="Calibri" w:hAnsi="Calibri"/>
                <w:b w:val="0"/>
                <w:color w:val="172033"/>
                <w:sz w:val="18"/>
              </w:rPr>
              <w:t>cyberdeck run ... --real-only</w:t>
            </w:r>
          </w:p>
        </w:tc>
        <w:tc>
          <w:tcPr>
            <w:tcW w:type="dxa" w:w="3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33"/>
                <w:sz w:val="18"/>
              </w:rPr>
            </w:r>
            <w:r>
              <w:rPr>
                <w:rFonts w:ascii="Calibri" w:hAnsi="Calibri"/>
                <w:b w:val="0"/>
                <w:color w:val="172033"/>
                <w:sz w:val="18"/>
              </w:rPr>
              <w:t>Genera informe con fuentes reales gratuitas/autorizadas.</w:t>
            </w:r>
          </w:p>
        </w:tc>
        <w:tc>
          <w:tcPr>
            <w:tcW w:type="dxa" w:w="30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33"/>
                <w:sz w:val="18"/>
              </w:rPr>
            </w:r>
            <w:r>
              <w:rPr>
                <w:rFonts w:ascii="Calibri" w:hAnsi="Calibri"/>
                <w:b w:val="0"/>
                <w:color w:val="172033"/>
                <w:sz w:val="18"/>
              </w:rPr>
              <w:t>Operación normal.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33"/>
                <w:sz w:val="18"/>
              </w:rPr>
            </w:r>
            <w:r>
              <w:rPr>
                <w:rFonts w:ascii="Calibri" w:hAnsi="Calibri"/>
                <w:b w:val="0"/>
                <w:color w:val="172033"/>
                <w:sz w:val="18"/>
              </w:rPr>
              <w:t>cyberdeck monitor --duration 24h --interval 30m</w:t>
            </w:r>
          </w:p>
        </w:tc>
        <w:tc>
          <w:tcPr>
            <w:tcW w:type="dxa" w:w="3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33"/>
                <w:sz w:val="18"/>
              </w:rPr>
            </w:r>
            <w:r>
              <w:rPr>
                <w:rFonts w:ascii="Calibri" w:hAnsi="Calibri"/>
                <w:b w:val="0"/>
                <w:color w:val="172033"/>
                <w:sz w:val="18"/>
              </w:rPr>
              <w:t>Corre monitoreo periodico controlado.</w:t>
            </w:r>
          </w:p>
        </w:tc>
        <w:tc>
          <w:tcPr>
            <w:tcW w:type="dxa" w:w="30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33"/>
                <w:sz w:val="18"/>
              </w:rPr>
            </w:r>
            <w:r>
              <w:rPr>
                <w:rFonts w:ascii="Calibri" w:hAnsi="Calibri"/>
                <w:b w:val="0"/>
                <w:color w:val="172033"/>
                <w:sz w:val="18"/>
              </w:rPr>
              <w:t>Seguimiento de crisis o ventana de vigilancia.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33"/>
                <w:sz w:val="18"/>
              </w:rPr>
            </w:r>
            <w:r>
              <w:rPr>
                <w:rFonts w:ascii="Calibri" w:hAnsi="Calibri"/>
                <w:b w:val="0"/>
                <w:color w:val="172033"/>
                <w:sz w:val="18"/>
              </w:rPr>
              <w:t>cyberdeck report open --latest</w:t>
            </w:r>
          </w:p>
        </w:tc>
        <w:tc>
          <w:tcPr>
            <w:tcW w:type="dxa" w:w="3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33"/>
                <w:sz w:val="18"/>
              </w:rPr>
            </w:r>
            <w:r>
              <w:rPr>
                <w:rFonts w:ascii="Calibri" w:hAnsi="Calibri"/>
                <w:b w:val="0"/>
                <w:color w:val="172033"/>
                <w:sz w:val="18"/>
              </w:rPr>
              <w:t>Abre el ultimo HTML en reports/.</w:t>
            </w:r>
          </w:p>
        </w:tc>
        <w:tc>
          <w:tcPr>
            <w:tcW w:type="dxa" w:w="30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33"/>
                <w:sz w:val="18"/>
              </w:rPr>
            </w:r>
            <w:r>
              <w:rPr>
                <w:rFonts w:ascii="Calibri" w:hAnsi="Calibri"/>
                <w:b w:val="0"/>
                <w:color w:val="172033"/>
                <w:sz w:val="18"/>
              </w:rPr>
              <w:t>Revision rapida del ultimo resultado.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33"/>
                <w:sz w:val="18"/>
              </w:rPr>
            </w:r>
            <w:r>
              <w:rPr>
                <w:rFonts w:ascii="Calibri" w:hAnsi="Calibri"/>
                <w:b w:val="0"/>
                <w:color w:val="172033"/>
                <w:sz w:val="18"/>
              </w:rPr>
              <w:t>make test</w:t>
            </w:r>
          </w:p>
        </w:tc>
        <w:tc>
          <w:tcPr>
            <w:tcW w:type="dxa" w:w="3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33"/>
                <w:sz w:val="18"/>
              </w:rPr>
            </w:r>
            <w:r>
              <w:rPr>
                <w:rFonts w:ascii="Calibri" w:hAnsi="Calibri"/>
                <w:b w:val="0"/>
                <w:color w:val="172033"/>
                <w:sz w:val="18"/>
              </w:rPr>
              <w:t>Ejecuta pruebas unitarias.</w:t>
            </w:r>
          </w:p>
        </w:tc>
        <w:tc>
          <w:tcPr>
            <w:tcW w:type="dxa" w:w="30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33"/>
                <w:sz w:val="18"/>
              </w:rPr>
            </w:r>
            <w:r>
              <w:rPr>
                <w:rFonts w:ascii="Calibri" w:hAnsi="Calibri"/>
                <w:b w:val="0"/>
                <w:color w:val="172033"/>
                <w:sz w:val="18"/>
              </w:rPr>
              <w:t>Despues de cambios en codigo, modelos o plantilla.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33"/>
                <w:sz w:val="18"/>
              </w:rPr>
            </w:r>
            <w:r>
              <w:rPr>
                <w:rFonts w:ascii="Calibri" w:hAnsi="Calibri"/>
                <w:b w:val="0"/>
                <w:color w:val="172033"/>
                <w:sz w:val="18"/>
              </w:rPr>
              <w:t>scripts/healthcheck.sh</w:t>
            </w:r>
          </w:p>
        </w:tc>
        <w:tc>
          <w:tcPr>
            <w:tcW w:type="dxa" w:w="3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33"/>
                <w:sz w:val="18"/>
              </w:rPr>
            </w:r>
            <w:r>
              <w:rPr>
                <w:rFonts w:ascii="Calibri" w:hAnsi="Calibri"/>
                <w:b w:val="0"/>
                <w:color w:val="172033"/>
                <w:sz w:val="18"/>
              </w:rPr>
              <w:t>Doctor + pruebas basicas.</w:t>
            </w:r>
          </w:p>
        </w:tc>
        <w:tc>
          <w:tcPr>
            <w:tcW w:type="dxa" w:w="30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33"/>
                <w:sz w:val="18"/>
              </w:rPr>
            </w:r>
            <w:r>
              <w:rPr>
                <w:rFonts w:ascii="Calibri" w:hAnsi="Calibri"/>
                <w:b w:val="0"/>
                <w:color w:val="172033"/>
                <w:sz w:val="18"/>
              </w:rPr>
              <w:t>Cierre de QA.</w:t>
            </w:r>
          </w:p>
        </w:tc>
      </w:tr>
    </w:tbl>
    <w:p>
      <w:pPr>
        <w:pStyle w:val="Heading1"/>
        <w:keepNext/>
      </w:pPr>
      <w:r>
        <w:t>3. Qué se genera al final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</w:r>
            <w:r>
              <w:rPr>
                <w:rFonts w:ascii="Calibri" w:hAnsi="Calibri"/>
                <w:b/>
                <w:color w:val="0B2545"/>
                <w:sz w:val="18"/>
              </w:rPr>
              <w:t>Elemento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</w:r>
            <w:r>
              <w:rPr>
                <w:rFonts w:ascii="Calibri" w:hAnsi="Calibri"/>
                <w:b/>
                <w:color w:val="0B2545"/>
                <w:sz w:val="18"/>
              </w:rPr>
              <w:t>Detalle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33"/>
                <w:sz w:val="18"/>
              </w:rPr>
            </w:r>
            <w:r>
              <w:rPr>
                <w:rFonts w:ascii="Calibri" w:hAnsi="Calibri"/>
                <w:b/>
                <w:color w:val="172033"/>
                <w:sz w:val="18"/>
              </w:rPr>
              <w:t>HTML ejecutivo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33"/>
                <w:sz w:val="18"/>
              </w:rPr>
            </w:r>
            <w:r>
              <w:rPr>
                <w:rFonts w:ascii="Calibri" w:hAnsi="Calibri"/>
                <w:b w:val="0"/>
                <w:color w:val="172033"/>
                <w:sz w:val="18"/>
              </w:rPr>
              <w:t>reports/grupo_aval_executive.html. Informe navegable, con secciones, paneles desplegables, graficas, tablas y evidencia.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33"/>
                <w:sz w:val="18"/>
              </w:rPr>
            </w:r>
            <w:r>
              <w:rPr>
                <w:rFonts w:ascii="Calibri" w:hAnsi="Calibri"/>
                <w:b/>
                <w:color w:val="172033"/>
                <w:sz w:val="18"/>
              </w:rPr>
              <w:t>JSON de evidencia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33"/>
                <w:sz w:val="18"/>
              </w:rPr>
            </w:r>
            <w:r>
              <w:rPr>
                <w:rFonts w:ascii="Calibri" w:hAnsi="Calibri"/>
                <w:b w:val="0"/>
                <w:color w:val="172033"/>
                <w:sz w:val="18"/>
              </w:rPr>
              <w:t>reports/grupo_aval_executive_evidence.json. Contiene eventos, riesgos, fuentes, metricas y referencias.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33"/>
                <w:sz w:val="18"/>
              </w:rPr>
            </w:r>
            <w:r>
              <w:rPr>
                <w:rFonts w:ascii="Calibri" w:hAnsi="Calibri"/>
                <w:b/>
                <w:color w:val="172033"/>
                <w:sz w:val="18"/>
              </w:rPr>
              <w:t>CSV de evidencia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33"/>
                <w:sz w:val="18"/>
              </w:rPr>
            </w:r>
            <w:r>
              <w:rPr>
                <w:rFonts w:ascii="Calibri" w:hAnsi="Calibri"/>
                <w:b w:val="0"/>
                <w:color w:val="172033"/>
                <w:sz w:val="18"/>
              </w:rPr>
              <w:t>reports/grupo_aval_executive_evidence.csv. Export estructurado para análisis, filtros y trazabilidad.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33"/>
                <w:sz w:val="18"/>
              </w:rPr>
            </w:r>
            <w:r>
              <w:rPr>
                <w:rFonts w:ascii="Calibri" w:hAnsi="Calibri"/>
                <w:b/>
                <w:color w:val="172033"/>
                <w:sz w:val="18"/>
              </w:rPr>
              <w:t>Cache SQLite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33"/>
                <w:sz w:val="18"/>
              </w:rPr>
            </w:r>
            <w:r>
              <w:rPr>
                <w:rFonts w:ascii="Calibri" w:hAnsi="Calibri"/>
                <w:b w:val="0"/>
                <w:color w:val="172033"/>
                <w:sz w:val="18"/>
              </w:rPr>
              <w:t>data/cyberdeck.sqlite. Guarda eventos recolectados para consulta historica local.</w:t>
            </w:r>
          </w:p>
        </w:tc>
      </w:tr>
    </w:tbl>
    <w:p>
      <w:pPr>
        <w:spacing w:before="0" w:after="120" w:line="300" w:lineRule="auto"/>
      </w:pPr>
      <w:r>
        <w:rPr>
          <w:rFonts w:ascii="Calibri" w:hAnsi="Calibri"/>
        </w:rPr>
        <w:t>Última corrida validada: 211 eventos reales, 211 con URL, 0 eventos demo/simulados y 16 fuentes.</w:t>
      </w:r>
    </w:p>
    <w:p>
      <w:pPr>
        <w:pStyle w:val="Heading1"/>
        <w:keepNext/>
      </w:pPr>
      <w:r>
        <w:t>4. Funciones principales de la plataforma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50"/>
        <w:gridCol w:w="3960"/>
        <w:gridCol w:w="3550"/>
      </w:tblGrid>
      <w:tr>
        <w:tc>
          <w:tcPr>
            <w:tcW w:type="dxa" w:w="1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</w:r>
            <w:r>
              <w:rPr>
                <w:rFonts w:ascii="Calibri" w:hAnsi="Calibri"/>
                <w:b/>
                <w:color w:val="0B2545"/>
                <w:sz w:val="18"/>
              </w:rPr>
              <w:t>Funcion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</w:r>
            <w:r>
              <w:rPr>
                <w:rFonts w:ascii="Calibri" w:hAnsi="Calibri"/>
                <w:b/>
                <w:color w:val="0B2545"/>
                <w:sz w:val="18"/>
              </w:rPr>
              <w:t>Que hace</w:t>
            </w:r>
          </w:p>
        </w:tc>
        <w:tc>
          <w:tcPr>
            <w:tcW w:type="dxa" w:w="3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</w:r>
            <w:r>
              <w:rPr>
                <w:rFonts w:ascii="Calibri" w:hAnsi="Calibri"/>
                <w:b/>
                <w:color w:val="0B2545"/>
                <w:sz w:val="18"/>
              </w:rPr>
              <w:t>Resultado para decisión</w:t>
            </w:r>
          </w:p>
        </w:tc>
      </w:tr>
      <w:tr>
        <w:tc>
          <w:tcPr>
            <w:tcW w:type="dxa" w:w="1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33"/>
                <w:sz w:val="18"/>
              </w:rPr>
            </w:r>
            <w:r>
              <w:rPr>
                <w:rFonts w:ascii="Calibri" w:hAnsi="Calibri"/>
                <w:b w:val="0"/>
                <w:color w:val="172033"/>
                <w:sz w:val="18"/>
              </w:rPr>
              <w:t>Recoleccion OSINT/CTI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33"/>
                <w:sz w:val="18"/>
              </w:rPr>
            </w:r>
            <w:r>
              <w:rPr>
                <w:rFonts w:ascii="Calibri" w:hAnsi="Calibri"/>
                <w:b w:val="0"/>
                <w:color w:val="172033"/>
                <w:sz w:val="18"/>
              </w:rPr>
              <w:t>Consulta CISA KEV, RSS, GitHub Advisories, EPSS, NVD y búsquedas abiertas.</w:t>
            </w:r>
          </w:p>
        </w:tc>
        <w:tc>
          <w:tcPr>
            <w:tcW w:type="dxa" w:w="3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33"/>
                <w:sz w:val="18"/>
              </w:rPr>
            </w:r>
            <w:r>
              <w:rPr>
                <w:rFonts w:ascii="Calibri" w:hAnsi="Calibri"/>
                <w:b w:val="0"/>
                <w:color w:val="172033"/>
                <w:sz w:val="18"/>
              </w:rPr>
              <w:t>Prioriza exposición, vulnerabilidades y alertas publicas.</w:t>
            </w:r>
          </w:p>
        </w:tc>
      </w:tr>
      <w:tr>
        <w:tc>
          <w:tcPr>
            <w:tcW w:type="dxa" w:w="1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33"/>
                <w:sz w:val="18"/>
              </w:rPr>
            </w:r>
            <w:r>
              <w:rPr>
                <w:rFonts w:ascii="Calibri" w:hAnsi="Calibri"/>
                <w:b w:val="0"/>
                <w:color w:val="172033"/>
                <w:sz w:val="18"/>
              </w:rPr>
              <w:t>SOCMINT público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33"/>
                <w:sz w:val="18"/>
              </w:rPr>
            </w:r>
            <w:r>
              <w:rPr>
                <w:rFonts w:ascii="Calibri" w:hAnsi="Calibri"/>
                <w:b w:val="0"/>
                <w:color w:val="172033"/>
                <w:sz w:val="18"/>
              </w:rPr>
              <w:t>Usa fuentes públicas permitidas como Reddit RSS, con filtros de relevancia.</w:t>
            </w:r>
          </w:p>
        </w:tc>
        <w:tc>
          <w:tcPr>
            <w:tcW w:type="dxa" w:w="3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33"/>
                <w:sz w:val="18"/>
              </w:rPr>
            </w:r>
            <w:r>
              <w:rPr>
                <w:rFonts w:ascii="Calibri" w:hAnsi="Calibri"/>
                <w:b w:val="0"/>
                <w:color w:val="172033"/>
                <w:sz w:val="18"/>
              </w:rPr>
              <w:t>Señales de marca, fraude, conversacion y reputacion.</w:t>
            </w:r>
          </w:p>
        </w:tc>
      </w:tr>
      <w:tr>
        <w:tc>
          <w:tcPr>
            <w:tcW w:type="dxa" w:w="1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33"/>
                <w:sz w:val="18"/>
              </w:rPr>
            </w:r>
            <w:r>
              <w:rPr>
                <w:rFonts w:ascii="Calibri" w:hAnsi="Calibri"/>
                <w:b w:val="0"/>
                <w:color w:val="172033"/>
                <w:sz w:val="18"/>
              </w:rPr>
              <w:t>Dark Web autorizado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33"/>
                <w:sz w:val="18"/>
              </w:rPr>
            </w:r>
            <w:r>
              <w:rPr>
                <w:rFonts w:ascii="Calibri" w:hAnsi="Calibri"/>
                <w:b w:val="0"/>
                <w:color w:val="172033"/>
                <w:sz w:val="18"/>
              </w:rPr>
              <w:t>Integra ransomware.live y admite importaciónes redacted CSV/JSON; Tor directo queda deshabilitado salvo scope explícito.</w:t>
            </w:r>
          </w:p>
        </w:tc>
        <w:tc>
          <w:tcPr>
            <w:tcW w:type="dxa" w:w="3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33"/>
                <w:sz w:val="18"/>
              </w:rPr>
            </w:r>
            <w:r>
              <w:rPr>
                <w:rFonts w:ascii="Calibri" w:hAnsi="Calibri"/>
                <w:b w:val="0"/>
                <w:color w:val="172033"/>
                <w:sz w:val="18"/>
              </w:rPr>
              <w:t>Vigilancia de claims, ransomware y presion regional.</w:t>
            </w:r>
          </w:p>
        </w:tc>
      </w:tr>
      <w:tr>
        <w:tc>
          <w:tcPr>
            <w:tcW w:type="dxa" w:w="1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33"/>
                <w:sz w:val="18"/>
              </w:rPr>
            </w:r>
            <w:r>
              <w:rPr>
                <w:rFonts w:ascii="Calibri" w:hAnsi="Calibri"/>
                <w:b w:val="0"/>
                <w:color w:val="172033"/>
                <w:sz w:val="18"/>
              </w:rPr>
              <w:t>Fraude digital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33"/>
                <w:sz w:val="18"/>
              </w:rPr>
            </w:r>
            <w:r>
              <w:rPr>
                <w:rFonts w:ascii="Calibri" w:hAnsi="Calibri"/>
                <w:b w:val="0"/>
                <w:color w:val="172033"/>
                <w:sz w:val="18"/>
              </w:rPr>
              <w:t>Modela phishing, smishing, BEC, ATO, cuentas mula, identidad sintetica, SIM swap y fraude transaccional.</w:t>
            </w:r>
          </w:p>
        </w:tc>
        <w:tc>
          <w:tcPr>
            <w:tcW w:type="dxa" w:w="3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33"/>
                <w:sz w:val="18"/>
              </w:rPr>
            </w:r>
            <w:r>
              <w:rPr>
                <w:rFonts w:ascii="Calibri" w:hAnsi="Calibri"/>
                <w:b w:val="0"/>
                <w:color w:val="172033"/>
                <w:sz w:val="18"/>
              </w:rPr>
              <w:t>Acciones para Fraude, SOC, canales y clientes.</w:t>
            </w:r>
          </w:p>
        </w:tc>
      </w:tr>
      <w:tr>
        <w:tc>
          <w:tcPr>
            <w:tcW w:type="dxa" w:w="1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33"/>
                <w:sz w:val="18"/>
              </w:rPr>
            </w:r>
            <w:r>
              <w:rPr>
                <w:rFonts w:ascii="Calibri" w:hAnsi="Calibri"/>
                <w:b w:val="0"/>
                <w:color w:val="172033"/>
                <w:sz w:val="18"/>
              </w:rPr>
              <w:t>MITRE ATT&amp;CK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33"/>
                <w:sz w:val="18"/>
              </w:rPr>
            </w:r>
            <w:r>
              <w:rPr>
                <w:rFonts w:ascii="Calibri" w:hAnsi="Calibri"/>
                <w:b w:val="0"/>
                <w:color w:val="172033"/>
                <w:sz w:val="18"/>
              </w:rPr>
              <w:t>Mapea eventos a tácticas/técnicas como T1566, T1190, T1078 y T1486.</w:t>
            </w:r>
          </w:p>
        </w:tc>
        <w:tc>
          <w:tcPr>
            <w:tcW w:type="dxa" w:w="3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33"/>
                <w:sz w:val="18"/>
              </w:rPr>
            </w:r>
            <w:r>
              <w:rPr>
                <w:rFonts w:ascii="Calibri" w:hAnsi="Calibri"/>
                <w:b w:val="0"/>
                <w:color w:val="172033"/>
                <w:sz w:val="18"/>
              </w:rPr>
              <w:t>Que debe detectar el SOC y que TTP priorizar.</w:t>
            </w:r>
          </w:p>
        </w:tc>
      </w:tr>
      <w:tr>
        <w:tc>
          <w:tcPr>
            <w:tcW w:type="dxa" w:w="1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33"/>
                <w:sz w:val="18"/>
              </w:rPr>
            </w:r>
            <w:r>
              <w:rPr>
                <w:rFonts w:ascii="Calibri" w:hAnsi="Calibri"/>
                <w:b w:val="0"/>
                <w:color w:val="172033"/>
                <w:sz w:val="18"/>
              </w:rPr>
              <w:t>MITRE D3FEND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33"/>
                <w:sz w:val="18"/>
              </w:rPr>
            </w:r>
            <w:r>
              <w:rPr>
                <w:rFonts w:ascii="Calibri" w:hAnsi="Calibri"/>
                <w:b w:val="0"/>
                <w:color w:val="172033"/>
                <w:sz w:val="18"/>
              </w:rPr>
              <w:t>Traduce TTP en contramedidas defensivas.</w:t>
            </w:r>
          </w:p>
        </w:tc>
        <w:tc>
          <w:tcPr>
            <w:tcW w:type="dxa" w:w="3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33"/>
                <w:sz w:val="18"/>
              </w:rPr>
            </w:r>
            <w:r>
              <w:rPr>
                <w:rFonts w:ascii="Calibri" w:hAnsi="Calibri"/>
                <w:b w:val="0"/>
                <w:color w:val="172033"/>
                <w:sz w:val="18"/>
              </w:rPr>
              <w:t>Que controles/herramientas implementar.</w:t>
            </w:r>
          </w:p>
        </w:tc>
      </w:tr>
      <w:tr>
        <w:tc>
          <w:tcPr>
            <w:tcW w:type="dxa" w:w="1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33"/>
                <w:sz w:val="18"/>
              </w:rPr>
            </w:r>
            <w:r>
              <w:rPr>
                <w:rFonts w:ascii="Calibri" w:hAnsi="Calibri"/>
                <w:b w:val="0"/>
                <w:color w:val="172033"/>
                <w:sz w:val="18"/>
              </w:rPr>
              <w:t>MITRE ATLAS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33"/>
                <w:sz w:val="18"/>
              </w:rPr>
            </w:r>
            <w:r>
              <w:rPr>
                <w:rFonts w:ascii="Calibri" w:hAnsi="Calibri"/>
                <w:b w:val="0"/>
                <w:color w:val="172033"/>
                <w:sz w:val="18"/>
              </w:rPr>
              <w:t>Evalua riesgo de IA, modelos, agentes y automatización.</w:t>
            </w:r>
          </w:p>
        </w:tc>
        <w:tc>
          <w:tcPr>
            <w:tcW w:type="dxa" w:w="3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33"/>
                <w:sz w:val="18"/>
              </w:rPr>
            </w:r>
            <w:r>
              <w:rPr>
                <w:rFonts w:ascii="Calibri" w:hAnsi="Calibri"/>
                <w:b w:val="0"/>
                <w:color w:val="172033"/>
                <w:sz w:val="18"/>
              </w:rPr>
              <w:t>Gobierno preventivo de IA y automatizaciónes.</w:t>
            </w:r>
          </w:p>
        </w:tc>
      </w:tr>
      <w:tr>
        <w:tc>
          <w:tcPr>
            <w:tcW w:type="dxa" w:w="1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33"/>
                <w:sz w:val="18"/>
              </w:rPr>
            </w:r>
            <w:r>
              <w:rPr>
                <w:rFonts w:ascii="Calibri" w:hAnsi="Calibri"/>
                <w:b w:val="0"/>
                <w:color w:val="172033"/>
                <w:sz w:val="18"/>
              </w:rPr>
              <w:t>Forecast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33"/>
                <w:sz w:val="18"/>
              </w:rPr>
            </w:r>
            <w:r>
              <w:rPr>
                <w:rFonts w:ascii="Calibri" w:hAnsi="Calibri"/>
                <w:b w:val="0"/>
                <w:color w:val="172033"/>
                <w:sz w:val="18"/>
              </w:rPr>
              <w:t>Calcula probabilidad relativa 7/14/30 dias con señales KEV, sector, SOCMINT y dark web.</w:t>
            </w:r>
          </w:p>
        </w:tc>
        <w:tc>
          <w:tcPr>
            <w:tcW w:type="dxa" w:w="3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33"/>
                <w:sz w:val="18"/>
              </w:rPr>
            </w:r>
            <w:r>
              <w:rPr>
                <w:rFonts w:ascii="Calibri" w:hAnsi="Calibri"/>
                <w:b w:val="0"/>
                <w:color w:val="172033"/>
                <w:sz w:val="18"/>
              </w:rPr>
              <w:t>Activar vigilancia o capacidad temporal.</w:t>
            </w:r>
          </w:p>
        </w:tc>
      </w:tr>
      <w:tr>
        <w:tc>
          <w:tcPr>
            <w:tcW w:type="dxa" w:w="1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33"/>
                <w:sz w:val="18"/>
              </w:rPr>
            </w:r>
            <w:r>
              <w:rPr>
                <w:rFonts w:ascii="Calibri" w:hAnsi="Calibri"/>
                <w:b w:val="0"/>
                <w:color w:val="172033"/>
                <w:sz w:val="18"/>
              </w:rPr>
              <w:t>Radar-calor propio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33"/>
                <w:sz w:val="18"/>
              </w:rPr>
            </w:r>
            <w:r>
              <w:rPr>
                <w:rFonts w:ascii="Calibri" w:hAnsi="Calibri"/>
                <w:b w:val="0"/>
                <w:color w:val="172033"/>
                <w:sz w:val="18"/>
              </w:rPr>
              <w:t>Combina evidencia, tendencia y riesgo residual por tipo de ciberriesgo.</w:t>
            </w:r>
          </w:p>
        </w:tc>
        <w:tc>
          <w:tcPr>
            <w:tcW w:type="dxa" w:w="3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33"/>
                <w:sz w:val="18"/>
              </w:rPr>
            </w:r>
            <w:r>
              <w:rPr>
                <w:rFonts w:ascii="Calibri" w:hAnsi="Calibri"/>
                <w:b w:val="0"/>
                <w:color w:val="172033"/>
                <w:sz w:val="18"/>
              </w:rPr>
              <w:t>Donde anticipar, invertir y asignar responsables.</w:t>
            </w:r>
          </w:p>
        </w:tc>
      </w:tr>
    </w:tbl>
    <w:p>
      <w:pPr>
        <w:pStyle w:val="Heading1"/>
        <w:keepNext/>
      </w:pPr>
      <w:r>
        <w:t>5. Arquitectura lógica</w:t>
      </w:r>
    </w:p>
    <w:p>
      <w:pPr>
        <w:spacing w:before="0" w:after="120" w:line="300" w:lineRule="auto"/>
      </w:pPr>
      <w:r>
        <w:rPr>
          <w:rFonts w:ascii="Calibri" w:hAnsi="Calibri"/>
        </w:rPr>
        <w:t>El flujo conceptual es: configuración de organización y fuentes -&gt; colectores pasivos/autorizados -&gt; normalización y deduplicacion -&gt; enriquecimiento CVE/EPSS/NVD -&gt; motores de riesgo/fraude/frameworks -&gt; reporte HTML y export JSON/CSV.</w:t>
      </w:r>
    </w:p>
    <w:p>
      <w:pPr>
        <w:pStyle w:val="ListNumber"/>
        <w:spacing w:before="0" w:after="80" w:line="300" w:lineRule="auto"/>
      </w:pPr>
      <w:r>
        <w:rPr>
          <w:rFonts w:ascii="Calibri" w:hAnsi="Calibri"/>
          <w:sz w:val="21"/>
        </w:rPr>
        <w:t>Perfil organizaciónal: define sector, pais, alcance autorizado, unidades de negocio, crown jewels y madurez de controles.</w:t>
      </w:r>
    </w:p>
    <w:p>
      <w:pPr>
        <w:pStyle w:val="ListNumber"/>
        <w:spacing w:before="0" w:after="80" w:line="300" w:lineRule="auto"/>
      </w:pPr>
      <w:r>
        <w:rPr>
          <w:rFonts w:ascii="Calibri" w:hAnsi="Calibri"/>
          <w:sz w:val="21"/>
        </w:rPr>
        <w:t>Fuentes: definen APIs, RSS, búsquedas, SOCMINT, ransomware.live, conectores MISP/OpenCTI/TAXII/Shodan/Censys y guardrails de dark web.</w:t>
      </w:r>
    </w:p>
    <w:p>
      <w:pPr>
        <w:pStyle w:val="ListNumber"/>
        <w:spacing w:before="0" w:after="80" w:line="300" w:lineRule="auto"/>
      </w:pPr>
      <w:r>
        <w:rPr>
          <w:rFonts w:ascii="Calibri" w:hAnsi="Calibri"/>
          <w:sz w:val="21"/>
        </w:rPr>
        <w:t>Colectores: convierten cada registro externo en ThreatEvent con fuente, categoría, confianza, severidad, tags y URL de evidencia.</w:t>
      </w:r>
    </w:p>
    <w:p>
      <w:pPr>
        <w:pStyle w:val="ListNumber"/>
        <w:spacing w:before="0" w:after="80" w:line="300" w:lineRule="auto"/>
      </w:pPr>
      <w:r>
        <w:rPr>
          <w:rFonts w:ascii="Calibri" w:hAnsi="Calibri"/>
          <w:sz w:val="21"/>
        </w:rPr>
        <w:t>Normalizador y deduplicador: redactan secretos, normalizan tags y eliminan duplicados por CVE o titulo/fuente.</w:t>
      </w:r>
    </w:p>
    <w:p>
      <w:pPr>
        <w:pStyle w:val="ListNumber"/>
        <w:spacing w:before="0" w:after="80" w:line="300" w:lineRule="auto"/>
      </w:pPr>
      <w:r>
        <w:rPr>
          <w:rFonts w:ascii="Calibri" w:hAnsi="Calibri"/>
          <w:sz w:val="21"/>
        </w:rPr>
        <w:t>Análisis: calcula tendencias, actores, patrones, riesgo, fraude, postura, MITRE, forecast, PESTEL, Porter, teoría de juegos y control.</w:t>
      </w:r>
    </w:p>
    <w:p>
      <w:pPr>
        <w:pStyle w:val="ListNumber"/>
        <w:spacing w:before="0" w:after="80" w:line="300" w:lineRule="auto"/>
      </w:pPr>
      <w:r>
        <w:rPr>
          <w:rFonts w:ascii="Calibri" w:hAnsi="Calibri"/>
          <w:sz w:val="21"/>
        </w:rPr>
        <w:t>Reporte: renderiza HTML autocontenido, evidencia desplegable y archivos JSON/CSV.</w:t>
      </w:r>
    </w:p>
    <w:p>
      <w:pPr>
        <w:pStyle w:val="Heading1"/>
        <w:keepNext/>
      </w:pPr>
      <w:r>
        <w:t>6. Fuentes y configuración actual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1300"/>
        <w:gridCol w:w="1100"/>
        <w:gridCol w:w="4660"/>
      </w:tblGrid>
      <w:t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</w:r>
            <w:r>
              <w:rPr>
                <w:rFonts w:ascii="Calibri" w:hAnsi="Calibri"/>
                <w:b/>
                <w:color w:val="0B2545"/>
                <w:sz w:val="18"/>
              </w:rPr>
              <w:t>Fuente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</w:r>
            <w:r>
              <w:rPr>
                <w:rFonts w:ascii="Calibri" w:hAnsi="Calibri"/>
                <w:b/>
                <w:color w:val="0B2545"/>
                <w:sz w:val="18"/>
              </w:rPr>
              <w:t>Estado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</w:r>
            <w:r>
              <w:rPr>
                <w:rFonts w:ascii="Calibri" w:hAnsi="Calibri"/>
                <w:b/>
                <w:color w:val="0B2545"/>
                <w:sz w:val="18"/>
              </w:rPr>
              <w:t>Registros</w:t>
            </w:r>
          </w:p>
        </w:tc>
        <w:tc>
          <w:tcPr>
            <w:tcW w:type="dxa" w:w="4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</w:r>
            <w:r>
              <w:rPr>
                <w:rFonts w:ascii="Calibri" w:hAnsi="Calibri"/>
                <w:b/>
                <w:color w:val="0B2545"/>
                <w:sz w:val="18"/>
              </w:rPr>
              <w:t>Nota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33"/>
                <w:sz w:val="18"/>
              </w:rPr>
            </w:r>
            <w:r>
              <w:rPr>
                <w:rFonts w:ascii="Calibri" w:hAnsi="Calibri"/>
                <w:b w:val="0"/>
                <w:color w:val="172033"/>
                <w:sz w:val="18"/>
              </w:rPr>
              <w:t>CISA KEV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33"/>
                <w:sz w:val="18"/>
              </w:rPr>
            </w:r>
            <w:r>
              <w:rPr>
                <w:rFonts w:ascii="Calibri" w:hAnsi="Calibri"/>
                <w:b w:val="0"/>
                <w:color w:val="172033"/>
                <w:sz w:val="18"/>
              </w:rPr>
              <w:t>ok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33"/>
                <w:sz w:val="18"/>
              </w:rPr>
            </w:r>
            <w:r>
              <w:rPr>
                <w:rFonts w:ascii="Calibri" w:hAnsi="Calibri"/>
                <w:b w:val="0"/>
                <w:color w:val="172033"/>
                <w:sz w:val="18"/>
              </w:rPr>
              <w:t>80</w:t>
            </w:r>
          </w:p>
        </w:tc>
        <w:tc>
          <w:tcPr>
            <w:tcW w:type="dxa" w:w="4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33"/>
                <w:sz w:val="18"/>
              </w:rPr>
            </w:r>
            <w:r>
              <w:rPr>
                <w:rFonts w:ascii="Calibri" w:hAnsi="Calibri"/>
                <w:b w:val="0"/>
                <w:color w:val="172033"/>
                <w:sz w:val="18"/>
              </w:rPr>
              <w:t>Sin advertencias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33"/>
                <w:sz w:val="18"/>
              </w:rPr>
            </w:r>
            <w:r>
              <w:rPr>
                <w:rFonts w:ascii="Calibri" w:hAnsi="Calibri"/>
                <w:b w:val="0"/>
                <w:color w:val="172033"/>
                <w:sz w:val="18"/>
              </w:rPr>
              <w:t>Internet Search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33"/>
                <w:sz w:val="18"/>
              </w:rPr>
            </w:r>
            <w:r>
              <w:rPr>
                <w:rFonts w:ascii="Calibri" w:hAnsi="Calibri"/>
                <w:b w:val="0"/>
                <w:color w:val="172033"/>
                <w:sz w:val="18"/>
              </w:rPr>
              <w:t>ok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33"/>
                <w:sz w:val="18"/>
              </w:rPr>
            </w:r>
            <w:r>
              <w:rPr>
                <w:rFonts w:ascii="Calibri" w:hAnsi="Calibri"/>
                <w:b w:val="0"/>
                <w:color w:val="172033"/>
                <w:sz w:val="18"/>
              </w:rPr>
              <w:t>50</w:t>
            </w:r>
          </w:p>
        </w:tc>
        <w:tc>
          <w:tcPr>
            <w:tcW w:type="dxa" w:w="4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33"/>
                <w:sz w:val="18"/>
              </w:rPr>
            </w:r>
            <w:r>
              <w:rPr>
                <w:rFonts w:ascii="Calibri" w:hAnsi="Calibri"/>
                <w:b w:val="0"/>
                <w:color w:val="172033"/>
                <w:sz w:val="18"/>
              </w:rPr>
              <w:t>Sin advertencias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33"/>
                <w:sz w:val="18"/>
              </w:rPr>
            </w:r>
            <w:r>
              <w:rPr>
                <w:rFonts w:ascii="Calibri" w:hAnsi="Calibri"/>
                <w:b w:val="0"/>
                <w:color w:val="172033"/>
                <w:sz w:val="18"/>
              </w:rPr>
              <w:t>RSS CTI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33"/>
                <w:sz w:val="18"/>
              </w:rPr>
            </w:r>
            <w:r>
              <w:rPr>
                <w:rFonts w:ascii="Calibri" w:hAnsi="Calibri"/>
                <w:b w:val="0"/>
                <w:color w:val="172033"/>
                <w:sz w:val="18"/>
              </w:rPr>
              <w:t>partial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33"/>
                <w:sz w:val="18"/>
              </w:rPr>
            </w:r>
            <w:r>
              <w:rPr>
                <w:rFonts w:ascii="Calibri" w:hAnsi="Calibri"/>
                <w:b w:val="0"/>
                <w:color w:val="172033"/>
                <w:sz w:val="18"/>
              </w:rPr>
              <w:t>60</w:t>
            </w:r>
          </w:p>
        </w:tc>
        <w:tc>
          <w:tcPr>
            <w:tcW w:type="dxa" w:w="4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33"/>
                <w:sz w:val="18"/>
              </w:rPr>
            </w:r>
            <w:r>
              <w:rPr>
                <w:rFonts w:ascii="Calibri" w:hAnsi="Calibri"/>
                <w:b w:val="0"/>
                <w:color w:val="172033"/>
                <w:sz w:val="18"/>
              </w:rPr>
              <w:t>CISA Cybersecurity Advisories: Client error '403 Forbidden' for url 'https://www.cisa.gov/cybersecurity-advisories/all.xml'</w:t>
              <w:br/>
              <w:t>For more information check: https://developer.mozilla.org/en-US/docs/Web/HTTP/Status/403; Microsoft Security: not well-formed (invalid token): line 172, column 31; Mandiant: syntax error: line 1, column 0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33"/>
                <w:sz w:val="18"/>
              </w:rPr>
            </w:r>
            <w:r>
              <w:rPr>
                <w:rFonts w:ascii="Calibri" w:hAnsi="Calibri"/>
                <w:b w:val="0"/>
                <w:color w:val="172033"/>
                <w:sz w:val="18"/>
              </w:rPr>
              <w:t>GitHub Security Advisories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33"/>
                <w:sz w:val="18"/>
              </w:rPr>
            </w:r>
            <w:r>
              <w:rPr>
                <w:rFonts w:ascii="Calibri" w:hAnsi="Calibri"/>
                <w:b w:val="0"/>
                <w:color w:val="172033"/>
                <w:sz w:val="18"/>
              </w:rPr>
              <w:t>ok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33"/>
                <w:sz w:val="18"/>
              </w:rPr>
            </w:r>
            <w:r>
              <w:rPr>
                <w:rFonts w:ascii="Calibri" w:hAnsi="Calibri"/>
                <w:b w:val="0"/>
                <w:color w:val="172033"/>
                <w:sz w:val="18"/>
              </w:rPr>
              <w:t>40</w:t>
            </w:r>
          </w:p>
        </w:tc>
        <w:tc>
          <w:tcPr>
            <w:tcW w:type="dxa" w:w="4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33"/>
                <w:sz w:val="18"/>
              </w:rPr>
            </w:r>
            <w:r>
              <w:rPr>
                <w:rFonts w:ascii="Calibri" w:hAnsi="Calibri"/>
                <w:b w:val="0"/>
                <w:color w:val="172033"/>
                <w:sz w:val="18"/>
              </w:rPr>
              <w:t>Sin advertencias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33"/>
                <w:sz w:val="18"/>
              </w:rPr>
            </w:r>
            <w:r>
              <w:rPr>
                <w:rFonts w:ascii="Calibri" w:hAnsi="Calibri"/>
                <w:b w:val="0"/>
                <w:color w:val="172033"/>
                <w:sz w:val="18"/>
              </w:rPr>
              <w:t>SOCMINT Public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33"/>
                <w:sz w:val="18"/>
              </w:rPr>
            </w:r>
            <w:r>
              <w:rPr>
                <w:rFonts w:ascii="Calibri" w:hAnsi="Calibri"/>
                <w:b w:val="0"/>
                <w:color w:val="172033"/>
                <w:sz w:val="18"/>
              </w:rPr>
              <w:t>ok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33"/>
                <w:sz w:val="18"/>
              </w:rPr>
            </w:r>
            <w:r>
              <w:rPr>
                <w:rFonts w:ascii="Calibri" w:hAnsi="Calibri"/>
                <w:b w:val="0"/>
                <w:color w:val="172033"/>
                <w:sz w:val="18"/>
              </w:rPr>
              <w:t>1</w:t>
            </w:r>
          </w:p>
        </w:tc>
        <w:tc>
          <w:tcPr>
            <w:tcW w:type="dxa" w:w="4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33"/>
                <w:sz w:val="18"/>
              </w:rPr>
            </w:r>
            <w:r>
              <w:rPr>
                <w:rFonts w:ascii="Calibri" w:hAnsi="Calibri"/>
                <w:b w:val="0"/>
                <w:color w:val="172033"/>
                <w:sz w:val="18"/>
              </w:rPr>
              <w:t>Sin advertencias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33"/>
                <w:sz w:val="18"/>
              </w:rPr>
            </w:r>
            <w:r>
              <w:rPr>
                <w:rFonts w:ascii="Calibri" w:hAnsi="Calibri"/>
                <w:b w:val="0"/>
                <w:color w:val="172033"/>
                <w:sz w:val="18"/>
              </w:rPr>
              <w:t>Dark Web Ransomware.live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33"/>
                <w:sz w:val="18"/>
              </w:rPr>
            </w:r>
            <w:r>
              <w:rPr>
                <w:rFonts w:ascii="Calibri" w:hAnsi="Calibri"/>
                <w:b w:val="0"/>
                <w:color w:val="172033"/>
                <w:sz w:val="18"/>
              </w:rPr>
              <w:t>partial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33"/>
                <w:sz w:val="18"/>
              </w:rPr>
            </w:r>
            <w:r>
              <w:rPr>
                <w:rFonts w:ascii="Calibri" w:hAnsi="Calibri"/>
                <w:b w:val="0"/>
                <w:color w:val="172033"/>
                <w:sz w:val="18"/>
              </w:rPr>
              <w:t>30</w:t>
            </w:r>
          </w:p>
        </w:tc>
        <w:tc>
          <w:tcPr>
            <w:tcW w:type="dxa" w:w="4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33"/>
                <w:sz w:val="18"/>
              </w:rPr>
            </w:r>
            <w:r>
              <w:rPr>
                <w:rFonts w:ascii="Calibri" w:hAnsi="Calibri"/>
                <w:b w:val="0"/>
                <w:color w:val="172033"/>
                <w:sz w:val="18"/>
              </w:rPr>
              <w:t>grupo aval: no victims found; banco de bogota: no victims found; banco bogota: no victims found; corficolombiana: no victims found; porvenir: no victims found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33"/>
                <w:sz w:val="18"/>
              </w:rPr>
            </w:r>
            <w:r>
              <w:rPr>
                <w:rFonts w:ascii="Calibri" w:hAnsi="Calibri"/>
                <w:b w:val="0"/>
                <w:color w:val="172033"/>
                <w:sz w:val="18"/>
              </w:rPr>
              <w:t>TOR Runtime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33"/>
                <w:sz w:val="18"/>
              </w:rPr>
            </w:r>
            <w:r>
              <w:rPr>
                <w:rFonts w:ascii="Calibri" w:hAnsi="Calibri"/>
                <w:b w:val="0"/>
                <w:color w:val="172033"/>
                <w:sz w:val="18"/>
              </w:rPr>
              <w:t>disabled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33"/>
                <w:sz w:val="18"/>
              </w:rPr>
            </w:r>
            <w:r>
              <w:rPr>
                <w:rFonts w:ascii="Calibri" w:hAnsi="Calibri"/>
                <w:b w:val="0"/>
                <w:color w:val="172033"/>
                <w:sz w:val="18"/>
              </w:rPr>
              <w:t>0</w:t>
            </w:r>
          </w:p>
        </w:tc>
        <w:tc>
          <w:tcPr>
            <w:tcW w:type="dxa" w:w="4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33"/>
                <w:sz w:val="18"/>
              </w:rPr>
            </w:r>
            <w:r>
              <w:rPr>
                <w:rFonts w:ascii="Calibri" w:hAnsi="Calibri"/>
                <w:b w:val="0"/>
                <w:color w:val="172033"/>
                <w:sz w:val="18"/>
              </w:rPr>
              <w:t>allow_tor=false en el perfil organizaciónal; no se abren servicios .onion.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33"/>
                <w:sz w:val="18"/>
              </w:rPr>
            </w:r>
            <w:r>
              <w:rPr>
                <w:rFonts w:ascii="Calibri" w:hAnsi="Calibri"/>
                <w:b w:val="0"/>
                <w:color w:val="172033"/>
                <w:sz w:val="18"/>
              </w:rPr>
              <w:t>Dark Web Authorized Import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33"/>
                <w:sz w:val="18"/>
              </w:rPr>
            </w:r>
            <w:r>
              <w:rPr>
                <w:rFonts w:ascii="Calibri" w:hAnsi="Calibri"/>
                <w:b w:val="0"/>
                <w:color w:val="172033"/>
                <w:sz w:val="18"/>
              </w:rPr>
              <w:t>disabled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33"/>
                <w:sz w:val="18"/>
              </w:rPr>
            </w:r>
            <w:r>
              <w:rPr>
                <w:rFonts w:ascii="Calibri" w:hAnsi="Calibri"/>
                <w:b w:val="0"/>
                <w:color w:val="172033"/>
                <w:sz w:val="18"/>
              </w:rPr>
              <w:t>0</w:t>
            </w:r>
          </w:p>
        </w:tc>
        <w:tc>
          <w:tcPr>
            <w:tcW w:type="dxa" w:w="4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33"/>
                <w:sz w:val="18"/>
              </w:rPr>
            </w:r>
            <w:r>
              <w:rPr>
                <w:rFonts w:ascii="Calibri" w:hAnsi="Calibri"/>
                <w:b w:val="0"/>
                <w:color w:val="172033"/>
                <w:sz w:val="18"/>
              </w:rPr>
              <w:t>Sin advertencias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33"/>
                <w:sz w:val="18"/>
              </w:rPr>
            </w:r>
            <w:r>
              <w:rPr>
                <w:rFonts w:ascii="Calibri" w:hAnsi="Calibri"/>
                <w:b w:val="0"/>
                <w:color w:val="172033"/>
                <w:sz w:val="18"/>
              </w:rPr>
              <w:t>STIX/TAXII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33"/>
                <w:sz w:val="18"/>
              </w:rPr>
            </w:r>
            <w:r>
              <w:rPr>
                <w:rFonts w:ascii="Calibri" w:hAnsi="Calibri"/>
                <w:b w:val="0"/>
                <w:color w:val="172033"/>
                <w:sz w:val="18"/>
              </w:rPr>
              <w:t>configured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33"/>
                <w:sz w:val="18"/>
              </w:rPr>
            </w:r>
            <w:r>
              <w:rPr>
                <w:rFonts w:ascii="Calibri" w:hAnsi="Calibri"/>
                <w:b w:val="0"/>
                <w:color w:val="172033"/>
                <w:sz w:val="18"/>
              </w:rPr>
              <w:t>0</w:t>
            </w:r>
          </w:p>
        </w:tc>
        <w:tc>
          <w:tcPr>
            <w:tcW w:type="dxa" w:w="4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33"/>
                <w:sz w:val="18"/>
              </w:rPr>
            </w:r>
            <w:r>
              <w:rPr>
                <w:rFonts w:ascii="Calibri" w:hAnsi="Calibri"/>
                <w:b w:val="0"/>
                <w:color w:val="172033"/>
                <w:sz w:val="18"/>
              </w:rPr>
              <w:t>Base client placeholder; configure authorized TAXII collection URL for production ingestion.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33"/>
                <w:sz w:val="18"/>
              </w:rPr>
            </w:r>
            <w:r>
              <w:rPr>
                <w:rFonts w:ascii="Calibri" w:hAnsi="Calibri"/>
                <w:b w:val="0"/>
                <w:color w:val="172033"/>
                <w:sz w:val="18"/>
              </w:rPr>
              <w:t>MISP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33"/>
                <w:sz w:val="18"/>
              </w:rPr>
            </w:r>
            <w:r>
              <w:rPr>
                <w:rFonts w:ascii="Calibri" w:hAnsi="Calibri"/>
                <w:b w:val="0"/>
                <w:color w:val="172033"/>
                <w:sz w:val="18"/>
              </w:rPr>
              <w:t>skipped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33"/>
                <w:sz w:val="18"/>
              </w:rPr>
            </w:r>
            <w:r>
              <w:rPr>
                <w:rFonts w:ascii="Calibri" w:hAnsi="Calibri"/>
                <w:b w:val="0"/>
                <w:color w:val="172033"/>
                <w:sz w:val="18"/>
              </w:rPr>
              <w:t>0</w:t>
            </w:r>
          </w:p>
        </w:tc>
        <w:tc>
          <w:tcPr>
            <w:tcW w:type="dxa" w:w="4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33"/>
                <w:sz w:val="18"/>
              </w:rPr>
            </w:r>
            <w:r>
              <w:rPr>
                <w:rFonts w:ascii="Calibri" w:hAnsi="Calibri"/>
                <w:b w:val="0"/>
                <w:color w:val="172033"/>
                <w:sz w:val="18"/>
              </w:rPr>
              <w:t>MISP_URL/MISP_API_KEY not configured.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33"/>
                <w:sz w:val="18"/>
              </w:rPr>
            </w:r>
            <w:r>
              <w:rPr>
                <w:rFonts w:ascii="Calibri" w:hAnsi="Calibri"/>
                <w:b w:val="0"/>
                <w:color w:val="172033"/>
                <w:sz w:val="18"/>
              </w:rPr>
              <w:t>OpenCTI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33"/>
                <w:sz w:val="18"/>
              </w:rPr>
            </w:r>
            <w:r>
              <w:rPr>
                <w:rFonts w:ascii="Calibri" w:hAnsi="Calibri"/>
                <w:b w:val="0"/>
                <w:color w:val="172033"/>
                <w:sz w:val="18"/>
              </w:rPr>
              <w:t>skipped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33"/>
                <w:sz w:val="18"/>
              </w:rPr>
            </w:r>
            <w:r>
              <w:rPr>
                <w:rFonts w:ascii="Calibri" w:hAnsi="Calibri"/>
                <w:b w:val="0"/>
                <w:color w:val="172033"/>
                <w:sz w:val="18"/>
              </w:rPr>
              <w:t>0</w:t>
            </w:r>
          </w:p>
        </w:tc>
        <w:tc>
          <w:tcPr>
            <w:tcW w:type="dxa" w:w="4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33"/>
                <w:sz w:val="18"/>
              </w:rPr>
            </w:r>
            <w:r>
              <w:rPr>
                <w:rFonts w:ascii="Calibri" w:hAnsi="Calibri"/>
                <w:b w:val="0"/>
                <w:color w:val="172033"/>
                <w:sz w:val="18"/>
              </w:rPr>
              <w:t>OPENCTI_URL/OPENCTI_API_KEY not configured.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33"/>
                <w:sz w:val="18"/>
              </w:rPr>
            </w:r>
            <w:r>
              <w:rPr>
                <w:rFonts w:ascii="Calibri" w:hAnsi="Calibri"/>
                <w:b w:val="0"/>
                <w:color w:val="172033"/>
                <w:sz w:val="18"/>
              </w:rPr>
              <w:t>Shodan Passive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33"/>
                <w:sz w:val="18"/>
              </w:rPr>
            </w:r>
            <w:r>
              <w:rPr>
                <w:rFonts w:ascii="Calibri" w:hAnsi="Calibri"/>
                <w:b w:val="0"/>
                <w:color w:val="172033"/>
                <w:sz w:val="18"/>
              </w:rPr>
              <w:t>skipped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33"/>
                <w:sz w:val="18"/>
              </w:rPr>
            </w:r>
            <w:r>
              <w:rPr>
                <w:rFonts w:ascii="Calibri" w:hAnsi="Calibri"/>
                <w:b w:val="0"/>
                <w:color w:val="172033"/>
                <w:sz w:val="18"/>
              </w:rPr>
              <w:t>0</w:t>
            </w:r>
          </w:p>
        </w:tc>
        <w:tc>
          <w:tcPr>
            <w:tcW w:type="dxa" w:w="4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33"/>
                <w:sz w:val="18"/>
              </w:rPr>
            </w:r>
            <w:r>
              <w:rPr>
                <w:rFonts w:ascii="Calibri" w:hAnsi="Calibri"/>
                <w:b w:val="0"/>
                <w:color w:val="172033"/>
                <w:sz w:val="18"/>
              </w:rPr>
              <w:t>SHODAN_API_KEY not configured; passive exposure disabled.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33"/>
                <w:sz w:val="18"/>
              </w:rPr>
            </w:r>
            <w:r>
              <w:rPr>
                <w:rFonts w:ascii="Calibri" w:hAnsi="Calibri"/>
                <w:b w:val="0"/>
                <w:color w:val="172033"/>
                <w:sz w:val="18"/>
              </w:rPr>
              <w:t>Censys Passive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33"/>
                <w:sz w:val="18"/>
              </w:rPr>
            </w:r>
            <w:r>
              <w:rPr>
                <w:rFonts w:ascii="Calibri" w:hAnsi="Calibri"/>
                <w:b w:val="0"/>
                <w:color w:val="172033"/>
                <w:sz w:val="18"/>
              </w:rPr>
              <w:t>skipped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33"/>
                <w:sz w:val="18"/>
              </w:rPr>
            </w:r>
            <w:r>
              <w:rPr>
                <w:rFonts w:ascii="Calibri" w:hAnsi="Calibri"/>
                <w:b w:val="0"/>
                <w:color w:val="172033"/>
                <w:sz w:val="18"/>
              </w:rPr>
              <w:t>0</w:t>
            </w:r>
          </w:p>
        </w:tc>
        <w:tc>
          <w:tcPr>
            <w:tcW w:type="dxa" w:w="4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33"/>
                <w:sz w:val="18"/>
              </w:rPr>
            </w:r>
            <w:r>
              <w:rPr>
                <w:rFonts w:ascii="Calibri" w:hAnsi="Calibri"/>
                <w:b w:val="0"/>
                <w:color w:val="172033"/>
                <w:sz w:val="18"/>
              </w:rPr>
              <w:t>CENSYS_API_ID/CENSYS_API_SECRET not configured; passive exposure disabled.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33"/>
                <w:sz w:val="18"/>
              </w:rPr>
            </w:r>
            <w:r>
              <w:rPr>
                <w:rFonts w:ascii="Calibri" w:hAnsi="Calibri"/>
                <w:b w:val="0"/>
                <w:color w:val="172033"/>
                <w:sz w:val="18"/>
              </w:rPr>
              <w:t>FIRST EPSS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33"/>
                <w:sz w:val="18"/>
              </w:rPr>
            </w:r>
            <w:r>
              <w:rPr>
                <w:rFonts w:ascii="Calibri" w:hAnsi="Calibri"/>
                <w:b w:val="0"/>
                <w:color w:val="172033"/>
                <w:sz w:val="18"/>
              </w:rPr>
              <w:t>ok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33"/>
                <w:sz w:val="18"/>
              </w:rPr>
            </w:r>
            <w:r>
              <w:rPr>
                <w:rFonts w:ascii="Calibri" w:hAnsi="Calibri"/>
                <w:b w:val="0"/>
                <w:color w:val="172033"/>
                <w:sz w:val="18"/>
              </w:rPr>
              <w:t>74</w:t>
            </w:r>
          </w:p>
        </w:tc>
        <w:tc>
          <w:tcPr>
            <w:tcW w:type="dxa" w:w="4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33"/>
                <w:sz w:val="18"/>
              </w:rPr>
            </w:r>
            <w:r>
              <w:rPr>
                <w:rFonts w:ascii="Calibri" w:hAnsi="Calibri"/>
                <w:b w:val="0"/>
                <w:color w:val="172033"/>
                <w:sz w:val="18"/>
              </w:rPr>
              <w:t>Sin advertencias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33"/>
                <w:sz w:val="18"/>
              </w:rPr>
            </w:r>
            <w:r>
              <w:rPr>
                <w:rFonts w:ascii="Calibri" w:hAnsi="Calibri"/>
                <w:b w:val="0"/>
                <w:color w:val="172033"/>
                <w:sz w:val="18"/>
              </w:rPr>
              <w:t>NVD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33"/>
                <w:sz w:val="18"/>
              </w:rPr>
            </w:r>
            <w:r>
              <w:rPr>
                <w:rFonts w:ascii="Calibri" w:hAnsi="Calibri"/>
                <w:b w:val="0"/>
                <w:color w:val="172033"/>
                <w:sz w:val="18"/>
              </w:rPr>
              <w:t>ok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33"/>
                <w:sz w:val="18"/>
              </w:rPr>
            </w:r>
            <w:r>
              <w:rPr>
                <w:rFonts w:ascii="Calibri" w:hAnsi="Calibri"/>
                <w:b w:val="0"/>
                <w:color w:val="172033"/>
                <w:sz w:val="18"/>
              </w:rPr>
              <w:t>8</w:t>
            </w:r>
          </w:p>
        </w:tc>
        <w:tc>
          <w:tcPr>
            <w:tcW w:type="dxa" w:w="4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33"/>
                <w:sz w:val="18"/>
              </w:rPr>
            </w:r>
            <w:r>
              <w:rPr>
                <w:rFonts w:ascii="Calibri" w:hAnsi="Calibri"/>
                <w:b w:val="0"/>
                <w:color w:val="172033"/>
                <w:sz w:val="18"/>
              </w:rPr>
              <w:t>Sin advertencias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33"/>
                <w:sz w:val="18"/>
              </w:rPr>
            </w:r>
            <w:r>
              <w:rPr>
                <w:rFonts w:ascii="Calibri" w:hAnsi="Calibri"/>
                <w:b w:val="0"/>
                <w:color w:val="172033"/>
                <w:sz w:val="18"/>
              </w:rPr>
              <w:t>SQLite cache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33"/>
                <w:sz w:val="18"/>
              </w:rPr>
            </w:r>
            <w:r>
              <w:rPr>
                <w:rFonts w:ascii="Calibri" w:hAnsi="Calibri"/>
                <w:b w:val="0"/>
                <w:color w:val="172033"/>
                <w:sz w:val="18"/>
              </w:rPr>
              <w:t>ok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33"/>
                <w:sz w:val="18"/>
              </w:rPr>
            </w:r>
            <w:r>
              <w:rPr>
                <w:rFonts w:ascii="Calibri" w:hAnsi="Calibri"/>
                <w:b w:val="0"/>
                <w:color w:val="172033"/>
                <w:sz w:val="18"/>
              </w:rPr>
              <w:t>211</w:t>
            </w:r>
          </w:p>
        </w:tc>
        <w:tc>
          <w:tcPr>
            <w:tcW w:type="dxa" w:w="4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33"/>
                <w:sz w:val="18"/>
              </w:rPr>
            </w:r>
            <w:r>
              <w:rPr>
                <w:rFonts w:ascii="Calibri" w:hAnsi="Calibri"/>
                <w:b w:val="0"/>
                <w:color w:val="172033"/>
                <w:sz w:val="18"/>
              </w:rPr>
              <w:t>Sin advertencias</w:t>
            </w:r>
          </w:p>
        </w:tc>
      </w:tr>
    </w:tbl>
    <w:p>
      <w:pPr>
        <w:spacing w:before="0" w:after="120" w:line="300" w:lineRule="auto"/>
      </w:pPr>
      <w:r>
        <w:rPr>
          <w:rFonts w:ascii="Calibri" w:hAnsi="Calibri"/>
        </w:rPr>
        <w:t>Las fuentes gratuitas o abiertas no siempre responden igual: algunas pueden tener rate limits, cambios de formato, 403 o requerir API key. El informe conserva el estado de cada fuente para no ocultar brechas de cobertura.</w:t>
      </w:r>
    </w:p>
    <w:p>
      <w:pPr>
        <w:pStyle w:val="Heading1"/>
        <w:keepNext/>
      </w:pPr>
      <w:r>
        <w:t>7. Configuración que se puede modificar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50"/>
        <w:gridCol w:w="6910"/>
      </w:tblGrid>
      <w:tr>
        <w:tc>
          <w:tcPr>
            <w:tcW w:type="dxa" w:w="2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</w:r>
            <w:r>
              <w:rPr>
                <w:rFonts w:ascii="Calibri" w:hAnsi="Calibri"/>
                <w:b/>
                <w:color w:val="0B2545"/>
                <w:sz w:val="18"/>
              </w:rPr>
              <w:t>Elemento</w:t>
            </w:r>
          </w:p>
        </w:tc>
        <w:tc>
          <w:tcPr>
            <w:tcW w:type="dxa" w:w="69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</w:r>
            <w:r>
              <w:rPr>
                <w:rFonts w:ascii="Calibri" w:hAnsi="Calibri"/>
                <w:b/>
                <w:color w:val="0B2545"/>
                <w:sz w:val="18"/>
              </w:rPr>
              <w:t>Detalle</w:t>
            </w:r>
          </w:p>
        </w:tc>
      </w:tr>
      <w:tr>
        <w:tc>
          <w:tcPr>
            <w:tcW w:type="dxa" w:w="2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33"/>
                <w:sz w:val="18"/>
              </w:rPr>
            </w:r>
            <w:r>
              <w:rPr>
                <w:rFonts w:ascii="Calibri" w:hAnsi="Calibri"/>
                <w:b/>
                <w:color w:val="172033"/>
                <w:sz w:val="18"/>
              </w:rPr>
              <w:t>config/orgs/grupo_aval.yml</w:t>
            </w:r>
          </w:p>
        </w:tc>
        <w:tc>
          <w:tcPr>
            <w:tcW w:type="dxa" w:w="69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33"/>
                <w:sz w:val="18"/>
              </w:rPr>
            </w:r>
            <w:r>
              <w:rPr>
                <w:rFonts w:ascii="Calibri" w:hAnsi="Calibri"/>
                <w:b w:val="0"/>
                <w:color w:val="172033"/>
                <w:sz w:val="18"/>
              </w:rPr>
              <w:t>Perfil de Grupo Aval: sector multisector financiero, unidades de negocio, activos críticos, tecnologías, apetito de riesgo, madurez de controles, madurez antifraude y permisos de fuentes.</w:t>
            </w:r>
          </w:p>
        </w:tc>
      </w:tr>
      <w:tr>
        <w:tc>
          <w:tcPr>
            <w:tcW w:type="dxa" w:w="2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33"/>
                <w:sz w:val="18"/>
              </w:rPr>
            </w:r>
            <w:r>
              <w:rPr>
                <w:rFonts w:ascii="Calibri" w:hAnsi="Calibri"/>
                <w:b/>
                <w:color w:val="172033"/>
                <w:sz w:val="18"/>
              </w:rPr>
              <w:t>config/sources.yml</w:t>
            </w:r>
          </w:p>
        </w:tc>
        <w:tc>
          <w:tcPr>
            <w:tcW w:type="dxa" w:w="69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33"/>
                <w:sz w:val="18"/>
              </w:rPr>
            </w:r>
            <w:r>
              <w:rPr>
                <w:rFonts w:ascii="Calibri" w:hAnsi="Calibri"/>
                <w:b w:val="0"/>
                <w:color w:val="172033"/>
                <w:sz w:val="18"/>
              </w:rPr>
              <w:t>Fuentes habilitadas, URLs, queries de búsqueda web, keywords SOCMINT, términos ransomware.live y conectores opcionales.</w:t>
            </w:r>
          </w:p>
        </w:tc>
      </w:tr>
      <w:tr>
        <w:tc>
          <w:tcPr>
            <w:tcW w:type="dxa" w:w="2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33"/>
                <w:sz w:val="18"/>
              </w:rPr>
            </w:r>
            <w:r>
              <w:rPr>
                <w:rFonts w:ascii="Calibri" w:hAnsi="Calibri"/>
                <w:b/>
                <w:color w:val="172033"/>
                <w:sz w:val="18"/>
              </w:rPr>
              <w:t>config/app.yml</w:t>
            </w:r>
          </w:p>
        </w:tc>
        <w:tc>
          <w:tcPr>
            <w:tcW w:type="dxa" w:w="69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33"/>
                <w:sz w:val="18"/>
              </w:rPr>
            </w:r>
            <w:r>
              <w:rPr>
                <w:rFonts w:ascii="Calibri" w:hAnsi="Calibri"/>
                <w:b w:val="0"/>
                <w:color w:val="172033"/>
                <w:sz w:val="18"/>
              </w:rPr>
              <w:t>Parámetros de aplicación: cache, reportes, timeout, rate limit, real-data default y redacción de salida.</w:t>
            </w:r>
          </w:p>
        </w:tc>
      </w:tr>
      <w:tr>
        <w:tc>
          <w:tcPr>
            <w:tcW w:type="dxa" w:w="2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33"/>
                <w:sz w:val="18"/>
              </w:rPr>
            </w:r>
            <w:r>
              <w:rPr>
                <w:rFonts w:ascii="Calibri" w:hAnsi="Calibri"/>
                <w:b/>
                <w:color w:val="172033"/>
                <w:sz w:val="18"/>
              </w:rPr>
              <w:t>.env.example</w:t>
            </w:r>
          </w:p>
        </w:tc>
        <w:tc>
          <w:tcPr>
            <w:tcW w:type="dxa" w:w="69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33"/>
                <w:sz w:val="18"/>
              </w:rPr>
            </w:r>
            <w:r>
              <w:rPr>
                <w:rFonts w:ascii="Calibri" w:hAnsi="Calibri"/>
                <w:b w:val="0"/>
                <w:color w:val="172033"/>
                <w:sz w:val="18"/>
              </w:rPr>
              <w:t>Variables opcionales: NVD_API_KEY, SHODAN_API_KEY, CENSYS_API_ID, CENSYS_API_SECRET, VIRUSTOTAL_API_KEY, GREYNOISE_API_KEY, ABUSEIPDB_API_KEY, MISP_URL, MISP_API_KEY, OPENCTI_URL, OPENCTI_API_KEY.</w:t>
            </w:r>
          </w:p>
        </w:tc>
      </w:tr>
    </w:tbl>
    <w:tbl>
      <w:tblPr>
        <w:tblW w:type="dxa" w:w="912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120"/>
      </w:tblGrid>
      <w:tr>
        <w:tc>
          <w:tcPr>
            <w:tcW w:type="dxa" w:w="912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fill="F4F6F9"/>
          </w:tcPr>
          <w:p>
            <w:pPr>
              <w:spacing w:before="0" w:after="40" w:line="288" w:lineRule="auto"/>
            </w:pPr>
            <w:r>
              <w:rPr>
                <w:rFonts w:ascii="Calibri" w:hAnsi="Calibri"/>
                <w:b/>
                <w:color w:val="1F4D78"/>
              </w:rPr>
              <w:t>Guardrail importante</w:t>
            </w:r>
          </w:p>
          <w:p>
            <w:pPr>
              <w:spacing w:before="0" w:after="0" w:line="288" w:lineRule="auto"/>
            </w:pPr>
            <w:r>
              <w:rPr>
                <w:rFonts w:ascii="Calibri" w:hAnsi="Calibri"/>
                <w:sz w:val="20"/>
              </w:rPr>
              <w:t>Para activar Tor o importar datos de dark web se debe tener alcance legal/autorizado, metadatos redacted y configuración explícita. La plataforma no abre foros privados ni recolecta credenciales, tarjetas, documentos personales o contenido ilícito.</w:t>
            </w:r>
          </w:p>
        </w:tc>
      </w:tr>
    </w:tbl>
    <w:p/>
    <w:p>
      <w:pPr>
        <w:pStyle w:val="Heading1"/>
        <w:keepNext/>
      </w:pPr>
      <w:r>
        <w:t>8. Matemática de fondo</w:t>
      </w:r>
    </w:p>
    <w:p>
      <w:pPr>
        <w:spacing w:before="0" w:after="120" w:line="300" w:lineRule="auto"/>
      </w:pPr>
      <w:r>
        <w:rPr>
          <w:rFonts w:ascii="Calibri" w:hAnsi="Calibri"/>
        </w:rPr>
        <w:t>La matemática busca priorizar decisión, no declarar certeza. Todos los puntajes son aproximaciones relativas basadas en evidencia disponible, confianza de fuente, recencia, severidad, exposición y madurez de controles.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5080"/>
        <w:gridCol w:w="2580"/>
      </w:tblGrid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</w:r>
            <w:r>
              <w:rPr>
                <w:rFonts w:ascii="Calibri" w:hAnsi="Calibri"/>
                <w:b/>
                <w:color w:val="0B2545"/>
                <w:sz w:val="18"/>
              </w:rPr>
              <w:t>Modelo</w:t>
            </w:r>
          </w:p>
        </w:tc>
        <w:tc>
          <w:tcPr>
            <w:tcW w:type="dxa" w:w="50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</w:r>
            <w:r>
              <w:rPr>
                <w:rFonts w:ascii="Calibri" w:hAnsi="Calibri"/>
                <w:b/>
                <w:color w:val="0B2545"/>
                <w:sz w:val="18"/>
              </w:rPr>
              <w:t>Fórmula / lógica</w:t>
            </w:r>
          </w:p>
        </w:tc>
        <w:tc>
          <w:tcPr>
            <w:tcW w:type="dxa" w:w="25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</w:r>
            <w:r>
              <w:rPr>
                <w:rFonts w:ascii="Calibri" w:hAnsi="Calibri"/>
                <w:b/>
                <w:color w:val="0B2545"/>
                <w:sz w:val="18"/>
              </w:rPr>
              <w:t>Para qué sirve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33"/>
                <w:sz w:val="18"/>
              </w:rPr>
            </w:r>
            <w:r>
              <w:rPr>
                <w:rFonts w:ascii="Calibri" w:hAnsi="Calibri"/>
                <w:b w:val="0"/>
                <w:color w:val="172033"/>
                <w:sz w:val="18"/>
              </w:rPr>
              <w:t>Decaimiento temporal</w:t>
            </w:r>
          </w:p>
        </w:tc>
        <w:tc>
          <w:tcPr>
            <w:tcW w:type="dxa" w:w="50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33"/>
                <w:sz w:val="18"/>
              </w:rPr>
            </w:r>
            <w:r>
              <w:rPr>
                <w:rFonts w:ascii="Calibri" w:hAnsi="Calibri"/>
                <w:b w:val="0"/>
                <w:color w:val="172033"/>
                <w:sz w:val="18"/>
              </w:rPr>
              <w:t>decay(days, half_life)=exp(-ln(2)*days/half_life)</w:t>
            </w:r>
          </w:p>
        </w:tc>
        <w:tc>
          <w:tcPr>
            <w:tcW w:type="dxa" w:w="25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33"/>
                <w:sz w:val="18"/>
              </w:rPr>
            </w:r>
            <w:r>
              <w:rPr>
                <w:rFonts w:ascii="Calibri" w:hAnsi="Calibri"/>
                <w:b w:val="0"/>
                <w:color w:val="172033"/>
                <w:sz w:val="18"/>
              </w:rPr>
              <w:t>Reduce peso de señales antiguas.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33"/>
                <w:sz w:val="18"/>
              </w:rPr>
            </w:r>
            <w:r>
              <w:rPr>
                <w:rFonts w:ascii="Calibri" w:hAnsi="Calibri"/>
                <w:b w:val="0"/>
                <w:color w:val="172033"/>
                <w:sz w:val="18"/>
              </w:rPr>
              <w:t>Actividad de amenaza</w:t>
            </w:r>
          </w:p>
        </w:tc>
        <w:tc>
          <w:tcPr>
            <w:tcW w:type="dxa" w:w="50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33"/>
                <w:sz w:val="18"/>
              </w:rPr>
            </w:r>
            <w:r>
              <w:rPr>
                <w:rFonts w:ascii="Calibri" w:hAnsi="Calibri"/>
                <w:b w:val="0"/>
                <w:color w:val="172033"/>
                <w:sz w:val="18"/>
              </w:rPr>
              <w:t>T=clip(1-exp(-0.35*sum(source_weight*confidence*decay)))</w:t>
            </w:r>
          </w:p>
        </w:tc>
        <w:tc>
          <w:tcPr>
            <w:tcW w:type="dxa" w:w="25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33"/>
                <w:sz w:val="18"/>
              </w:rPr>
            </w:r>
            <w:r>
              <w:rPr>
                <w:rFonts w:ascii="Calibri" w:hAnsi="Calibri"/>
                <w:b w:val="0"/>
                <w:color w:val="172033"/>
                <w:sz w:val="18"/>
              </w:rPr>
              <w:t>Resume intensidad reciente de evidencia.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33"/>
                <w:sz w:val="18"/>
              </w:rPr>
            </w:r>
            <w:r>
              <w:rPr>
                <w:rFonts w:ascii="Calibri" w:hAnsi="Calibri"/>
                <w:b w:val="0"/>
                <w:color w:val="172033"/>
                <w:sz w:val="18"/>
              </w:rPr>
              <w:t>Probabilidad contextual</w:t>
            </w:r>
          </w:p>
        </w:tc>
        <w:tc>
          <w:tcPr>
            <w:tcW w:type="dxa" w:w="50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33"/>
                <w:sz w:val="18"/>
              </w:rPr>
            </w:r>
            <w:r>
              <w:rPr>
                <w:rFonts w:ascii="Calibri" w:hAnsi="Calibri"/>
                <w:b w:val="0"/>
                <w:color w:val="172033"/>
                <w:sz w:val="18"/>
              </w:rPr>
              <w:t>L=sigmoid(-2.10+0.70A+0.85E+0.75V+0.90logit(P)/6+0.85K+0.70T+0.55S+0.35G-0.80C-0.60D-0.45R)</w:t>
            </w:r>
          </w:p>
        </w:tc>
        <w:tc>
          <w:tcPr>
            <w:tcW w:type="dxa" w:w="25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33"/>
                <w:sz w:val="18"/>
              </w:rPr>
            </w:r>
            <w:r>
              <w:rPr>
                <w:rFonts w:ascii="Calibri" w:hAnsi="Calibri"/>
                <w:b w:val="0"/>
                <w:color w:val="172033"/>
                <w:sz w:val="18"/>
              </w:rPr>
              <w:t>Convierte activo, exposición, CVSS, EPSS, KEV, actividad, sector, geopolitica y controles en probabilidad relativa.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33"/>
                <w:sz w:val="18"/>
              </w:rPr>
            </w:r>
            <w:r>
              <w:rPr>
                <w:rFonts w:ascii="Calibri" w:hAnsi="Calibri"/>
                <w:b w:val="0"/>
                <w:color w:val="172033"/>
                <w:sz w:val="18"/>
              </w:rPr>
              <w:t>Impacto de negocio</w:t>
            </w:r>
          </w:p>
        </w:tc>
        <w:tc>
          <w:tcPr>
            <w:tcW w:type="dxa" w:w="50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33"/>
                <w:sz w:val="18"/>
              </w:rPr>
            </w:r>
            <w:r>
              <w:rPr>
                <w:rFonts w:ascii="Calibri" w:hAnsi="Calibri"/>
                <w:b w:val="0"/>
                <w:color w:val="172033"/>
                <w:sz w:val="18"/>
              </w:rPr>
              <w:t>I=0.25 financial + 0.20 operational + 0.20 confidentiality + 0.15 integrity + 0.10 availability + 0.05 legal + 0.05 reputational</w:t>
            </w:r>
          </w:p>
        </w:tc>
        <w:tc>
          <w:tcPr>
            <w:tcW w:type="dxa" w:w="25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33"/>
                <w:sz w:val="18"/>
              </w:rPr>
            </w:r>
            <w:r>
              <w:rPr>
                <w:rFonts w:ascii="Calibri" w:hAnsi="Calibri"/>
                <w:b w:val="0"/>
                <w:color w:val="172033"/>
                <w:sz w:val="18"/>
              </w:rPr>
              <w:t>Traduce cyber/fraude a impacto ejecutivo.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33"/>
                <w:sz w:val="18"/>
              </w:rPr>
            </w:r>
            <w:r>
              <w:rPr>
                <w:rFonts w:ascii="Calibri" w:hAnsi="Calibri"/>
                <w:b w:val="0"/>
                <w:color w:val="172033"/>
                <w:sz w:val="18"/>
              </w:rPr>
              <w:t>Efectividad de controles</w:t>
            </w:r>
          </w:p>
        </w:tc>
        <w:tc>
          <w:tcPr>
            <w:tcW w:type="dxa" w:w="50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33"/>
                <w:sz w:val="18"/>
              </w:rPr>
            </w:r>
            <w:r>
              <w:rPr>
                <w:rFonts w:ascii="Calibri" w:hAnsi="Calibri"/>
                <w:b w:val="0"/>
                <w:color w:val="172033"/>
                <w:sz w:val="18"/>
              </w:rPr>
              <w:t>CE=0.25 ISO + 0.25 NIST + 0.15 SOC2 + 0.15 D3FEND + 0.10 ATT&amp;CK detection + 0.10 IR</w:t>
            </w:r>
          </w:p>
        </w:tc>
        <w:tc>
          <w:tcPr>
            <w:tcW w:type="dxa" w:w="25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33"/>
                <w:sz w:val="18"/>
              </w:rPr>
            </w:r>
            <w:r>
              <w:rPr>
                <w:rFonts w:ascii="Calibri" w:hAnsi="Calibri"/>
                <w:b w:val="0"/>
                <w:color w:val="172033"/>
                <w:sz w:val="18"/>
              </w:rPr>
              <w:t>Mide capacidad defensiva agregada.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33"/>
                <w:sz w:val="18"/>
              </w:rPr>
            </w:r>
            <w:r>
              <w:rPr>
                <w:rFonts w:ascii="Calibri" w:hAnsi="Calibri"/>
                <w:b w:val="0"/>
                <w:color w:val="172033"/>
                <w:sz w:val="18"/>
              </w:rPr>
              <w:t>Riesgo inherente</w:t>
            </w:r>
          </w:p>
        </w:tc>
        <w:tc>
          <w:tcPr>
            <w:tcW w:type="dxa" w:w="50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33"/>
                <w:sz w:val="18"/>
              </w:rPr>
            </w:r>
            <w:r>
              <w:rPr>
                <w:rFonts w:ascii="Calibri" w:hAnsi="Calibri"/>
                <w:b w:val="0"/>
                <w:color w:val="172033"/>
                <w:sz w:val="18"/>
              </w:rPr>
              <w:t>IR=100*L*I</w:t>
            </w:r>
          </w:p>
        </w:tc>
        <w:tc>
          <w:tcPr>
            <w:tcW w:type="dxa" w:w="25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33"/>
                <w:sz w:val="18"/>
              </w:rPr>
            </w:r>
            <w:r>
              <w:rPr>
                <w:rFonts w:ascii="Calibri" w:hAnsi="Calibri"/>
                <w:b w:val="0"/>
                <w:color w:val="172033"/>
                <w:sz w:val="18"/>
              </w:rPr>
              <w:t>Riesgo antes de descontar controles.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33"/>
                <w:sz w:val="18"/>
              </w:rPr>
            </w:r>
            <w:r>
              <w:rPr>
                <w:rFonts w:ascii="Calibri" w:hAnsi="Calibri"/>
                <w:b w:val="0"/>
                <w:color w:val="172033"/>
                <w:sz w:val="18"/>
              </w:rPr>
              <w:t>Riesgo residual</w:t>
            </w:r>
          </w:p>
        </w:tc>
        <w:tc>
          <w:tcPr>
            <w:tcW w:type="dxa" w:w="50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33"/>
                <w:sz w:val="18"/>
              </w:rPr>
            </w:r>
            <w:r>
              <w:rPr>
                <w:rFonts w:ascii="Calibri" w:hAnsi="Calibri"/>
                <w:b w:val="0"/>
                <w:color w:val="172033"/>
                <w:sz w:val="18"/>
              </w:rPr>
              <w:t>RR=IR*(1-min(0.85, CE))</w:t>
            </w:r>
          </w:p>
        </w:tc>
        <w:tc>
          <w:tcPr>
            <w:tcW w:type="dxa" w:w="25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33"/>
                <w:sz w:val="18"/>
              </w:rPr>
            </w:r>
            <w:r>
              <w:rPr>
                <w:rFonts w:ascii="Calibri" w:hAnsi="Calibri"/>
                <w:b w:val="0"/>
                <w:color w:val="172033"/>
                <w:sz w:val="18"/>
              </w:rPr>
              <w:t>Riesgo restánte; nunca permite riesgo cero.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33"/>
                <w:sz w:val="18"/>
              </w:rPr>
            </w:r>
            <w:r>
              <w:rPr>
                <w:rFonts w:ascii="Calibri" w:hAnsi="Calibri"/>
                <w:b w:val="0"/>
                <w:color w:val="172033"/>
                <w:sz w:val="18"/>
              </w:rPr>
              <w:t>Matriz 4x4</w:t>
            </w:r>
          </w:p>
        </w:tc>
        <w:tc>
          <w:tcPr>
            <w:tcW w:type="dxa" w:w="50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33"/>
                <w:sz w:val="18"/>
              </w:rPr>
            </w:r>
            <w:r>
              <w:rPr>
                <w:rFonts w:ascii="Calibri" w:hAnsi="Calibri"/>
                <w:b w:val="0"/>
                <w:color w:val="172033"/>
                <w:sz w:val="18"/>
              </w:rPr>
              <w:t>score=ceil(4*L)*ceil(4*I). Bajo 1-3, Medio 4-7, Alto 8-11, Critico 12-16.</w:t>
            </w:r>
          </w:p>
        </w:tc>
        <w:tc>
          <w:tcPr>
            <w:tcW w:type="dxa" w:w="25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33"/>
                <w:sz w:val="18"/>
              </w:rPr>
            </w:r>
            <w:r>
              <w:rPr>
                <w:rFonts w:ascii="Calibri" w:hAnsi="Calibri"/>
                <w:b w:val="0"/>
                <w:color w:val="172033"/>
                <w:sz w:val="18"/>
              </w:rPr>
              <w:t>Clasificacion ejecutiva rapida.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33"/>
                <w:sz w:val="18"/>
              </w:rPr>
            </w:r>
            <w:r>
              <w:rPr>
                <w:rFonts w:ascii="Calibri" w:hAnsi="Calibri"/>
                <w:b w:val="0"/>
                <w:color w:val="172033"/>
                <w:sz w:val="18"/>
              </w:rPr>
              <w:t>Monte Carlo</w:t>
            </w:r>
          </w:p>
        </w:tc>
        <w:tc>
          <w:tcPr>
            <w:tcW w:type="dxa" w:w="50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33"/>
                <w:sz w:val="18"/>
              </w:rPr>
            </w:r>
            <w:r>
              <w:rPr>
                <w:rFonts w:ascii="Calibri" w:hAnsi="Calibri"/>
                <w:b w:val="0"/>
                <w:color w:val="172033"/>
                <w:sz w:val="18"/>
              </w:rPr>
              <w:t>Muestrea L, I y CE con beta distributions; reporta P10/P50/P90.</w:t>
            </w:r>
          </w:p>
        </w:tc>
        <w:tc>
          <w:tcPr>
            <w:tcW w:type="dxa" w:w="25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33"/>
                <w:sz w:val="18"/>
              </w:rPr>
            </w:r>
            <w:r>
              <w:rPr>
                <w:rFonts w:ascii="Calibri" w:hAnsi="Calibri"/>
                <w:b w:val="0"/>
                <w:color w:val="172033"/>
                <w:sz w:val="18"/>
              </w:rPr>
              <w:t>Muestra incertidumbre y rango probable.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33"/>
                <w:sz w:val="18"/>
              </w:rPr>
            </w:r>
            <w:r>
              <w:rPr>
                <w:rFonts w:ascii="Calibri" w:hAnsi="Calibri"/>
                <w:b w:val="0"/>
                <w:color w:val="172033"/>
                <w:sz w:val="18"/>
              </w:rPr>
              <w:t>Forecast Poisson</w:t>
            </w:r>
          </w:p>
        </w:tc>
        <w:tc>
          <w:tcPr>
            <w:tcW w:type="dxa" w:w="50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33"/>
                <w:sz w:val="18"/>
              </w:rPr>
            </w:r>
            <w:r>
              <w:rPr>
                <w:rFonts w:ascii="Calibri" w:hAnsi="Calibri"/>
                <w:b w:val="0"/>
                <w:color w:val="172033"/>
                <w:sz w:val="18"/>
              </w:rPr>
              <w:t>lambda_t=0.65*lambda_prev+0.35*baseline+0.18*KEV+0.14*sector+0.10*SOCMINT+0.12*darkweb; P=1-exp(-lambda_t*days)</w:t>
            </w:r>
          </w:p>
        </w:tc>
        <w:tc>
          <w:tcPr>
            <w:tcW w:type="dxa" w:w="25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33"/>
                <w:sz w:val="18"/>
              </w:rPr>
            </w:r>
            <w:r>
              <w:rPr>
                <w:rFonts w:ascii="Calibri" w:hAnsi="Calibri"/>
                <w:b w:val="0"/>
                <w:color w:val="172033"/>
                <w:sz w:val="18"/>
              </w:rPr>
              <w:t>Probabilidad relativa 7/14/30 dias.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33"/>
                <w:sz w:val="18"/>
              </w:rPr>
            </w:r>
            <w:r>
              <w:rPr>
                <w:rFonts w:ascii="Calibri" w:hAnsi="Calibri"/>
                <w:b w:val="0"/>
                <w:color w:val="172033"/>
                <w:sz w:val="18"/>
              </w:rPr>
              <w:t>Radar-calor</w:t>
            </w:r>
          </w:p>
        </w:tc>
        <w:tc>
          <w:tcPr>
            <w:tcW w:type="dxa" w:w="50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33"/>
                <w:sz w:val="18"/>
              </w:rPr>
            </w:r>
            <w:r>
              <w:rPr>
                <w:rFonts w:ascii="Calibri" w:hAnsi="Calibri"/>
                <w:b w:val="0"/>
                <w:color w:val="172033"/>
                <w:sz w:val="18"/>
              </w:rPr>
              <w:t>score=min(1,(residual/45)*0.58 + trend*0.42), trend=evidence_count/18</w:t>
            </w:r>
          </w:p>
        </w:tc>
        <w:tc>
          <w:tcPr>
            <w:tcW w:type="dxa" w:w="25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33"/>
                <w:sz w:val="18"/>
              </w:rPr>
            </w:r>
            <w:r>
              <w:rPr>
                <w:rFonts w:ascii="Calibri" w:hAnsi="Calibri"/>
                <w:b w:val="0"/>
                <w:color w:val="172033"/>
                <w:sz w:val="18"/>
              </w:rPr>
              <w:t>Combina riesgo residual y tendencia por tipo de ciberriesgo.</w:t>
            </w:r>
          </w:p>
        </w:tc>
      </w:tr>
    </w:tbl>
    <w:p>
      <w:pPr>
        <w:pStyle w:val="Heading1"/>
        <w:keepNext/>
      </w:pPr>
      <w:r>
        <w:t>9. Teorías y marcos que soportan el análisis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3860"/>
        <w:gridCol w:w="3400"/>
      </w:tblGrid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</w:r>
            <w:r>
              <w:rPr>
                <w:rFonts w:ascii="Calibri" w:hAnsi="Calibri"/>
                <w:b/>
                <w:color w:val="0B2545"/>
                <w:sz w:val="18"/>
              </w:rPr>
              <w:t>Teoría / marco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</w:r>
            <w:r>
              <w:rPr>
                <w:rFonts w:ascii="Calibri" w:hAnsi="Calibri"/>
                <w:b/>
                <w:color w:val="0B2545"/>
                <w:sz w:val="18"/>
              </w:rPr>
              <w:t>Cómo se usa</w:t>
            </w:r>
          </w:p>
        </w:tc>
        <w:tc>
          <w:tcPr>
            <w:tcW w:type="dxa" w:w="3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</w:r>
            <w:r>
              <w:rPr>
                <w:rFonts w:ascii="Calibri" w:hAnsi="Calibri"/>
                <w:b/>
                <w:color w:val="0B2545"/>
                <w:sz w:val="18"/>
              </w:rPr>
              <w:t>Por qué importa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33"/>
                <w:sz w:val="18"/>
              </w:rPr>
            </w:r>
            <w:r>
              <w:rPr>
                <w:rFonts w:ascii="Calibri" w:hAnsi="Calibri"/>
                <w:b w:val="0"/>
                <w:color w:val="172033"/>
                <w:sz w:val="18"/>
              </w:rPr>
              <w:t>NIST CSF 2.0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33"/>
                <w:sz w:val="18"/>
              </w:rPr>
            </w:r>
            <w:r>
              <w:rPr>
                <w:rFonts w:ascii="Calibri" w:hAnsi="Calibri"/>
                <w:b w:val="0"/>
                <w:color w:val="172033"/>
                <w:sz w:val="18"/>
              </w:rPr>
              <w:t>Gobierno, identificacion, proteccion, deteccion, respuesta y recuperacion.</w:t>
            </w:r>
          </w:p>
        </w:tc>
        <w:tc>
          <w:tcPr>
            <w:tcW w:type="dxa" w:w="3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33"/>
                <w:sz w:val="18"/>
              </w:rPr>
            </w:r>
            <w:r>
              <w:rPr>
                <w:rFonts w:ascii="Calibri" w:hAnsi="Calibri"/>
                <w:b w:val="0"/>
                <w:color w:val="172033"/>
                <w:sz w:val="18"/>
              </w:rPr>
              <w:t>Lenguaje comun para dirección y equipos técnicos.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33"/>
                <w:sz w:val="18"/>
              </w:rPr>
            </w:r>
            <w:r>
              <w:rPr>
                <w:rFonts w:ascii="Calibri" w:hAnsi="Calibri"/>
                <w:b w:val="0"/>
                <w:color w:val="172033"/>
                <w:sz w:val="18"/>
              </w:rPr>
              <w:t>NIST SP 800-30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33"/>
                <w:sz w:val="18"/>
              </w:rPr>
            </w:r>
            <w:r>
              <w:rPr>
                <w:rFonts w:ascii="Calibri" w:hAnsi="Calibri"/>
                <w:b w:val="0"/>
                <w:color w:val="172033"/>
                <w:sz w:val="18"/>
              </w:rPr>
              <w:t>Estructura de evaluacion de riesgo: amenaza, vulnerabilidad, probabilidad, impacto e incertidumbre.</w:t>
            </w:r>
          </w:p>
        </w:tc>
        <w:tc>
          <w:tcPr>
            <w:tcW w:type="dxa" w:w="3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33"/>
                <w:sz w:val="18"/>
              </w:rPr>
            </w:r>
            <w:r>
              <w:rPr>
                <w:rFonts w:ascii="Calibri" w:hAnsi="Calibri"/>
                <w:b w:val="0"/>
                <w:color w:val="172033"/>
                <w:sz w:val="18"/>
              </w:rPr>
              <w:t>Base metodológica para riesgo contextual.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33"/>
                <w:sz w:val="18"/>
              </w:rPr>
            </w:r>
            <w:r>
              <w:rPr>
                <w:rFonts w:ascii="Calibri" w:hAnsi="Calibri"/>
                <w:b w:val="0"/>
                <w:color w:val="172033"/>
                <w:sz w:val="18"/>
              </w:rPr>
              <w:t>ISO/IEC 27001 y SOC 2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33"/>
                <w:sz w:val="18"/>
              </w:rPr>
            </w:r>
            <w:r>
              <w:rPr>
                <w:rFonts w:ascii="Calibri" w:hAnsi="Calibri"/>
                <w:b w:val="0"/>
                <w:color w:val="172033"/>
                <w:sz w:val="18"/>
              </w:rPr>
              <w:t>Madurez de controles, auditoría y evidencia.</w:t>
            </w:r>
          </w:p>
        </w:tc>
        <w:tc>
          <w:tcPr>
            <w:tcW w:type="dxa" w:w="3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33"/>
                <w:sz w:val="18"/>
              </w:rPr>
            </w:r>
            <w:r>
              <w:rPr>
                <w:rFonts w:ascii="Calibri" w:hAnsi="Calibri"/>
                <w:b w:val="0"/>
                <w:color w:val="172033"/>
                <w:sz w:val="18"/>
              </w:rPr>
              <w:t>Conecta seguridad con cumplimiento y confianza.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33"/>
                <w:sz w:val="18"/>
              </w:rPr>
            </w:r>
            <w:r>
              <w:rPr>
                <w:rFonts w:ascii="Calibri" w:hAnsi="Calibri"/>
                <w:b w:val="0"/>
                <w:color w:val="172033"/>
                <w:sz w:val="18"/>
              </w:rPr>
              <w:t>MITRE ATT&amp;CK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33"/>
                <w:sz w:val="18"/>
              </w:rPr>
            </w:r>
            <w:r>
              <w:rPr>
                <w:rFonts w:ascii="Calibri" w:hAnsi="Calibri"/>
                <w:b w:val="0"/>
                <w:color w:val="172033"/>
                <w:sz w:val="18"/>
              </w:rPr>
              <w:t>Mapa TTP: que hace el adversario.</w:t>
            </w:r>
          </w:p>
        </w:tc>
        <w:tc>
          <w:tcPr>
            <w:tcW w:type="dxa" w:w="3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33"/>
                <w:sz w:val="18"/>
              </w:rPr>
            </w:r>
            <w:r>
              <w:rPr>
                <w:rFonts w:ascii="Calibri" w:hAnsi="Calibri"/>
                <w:b w:val="0"/>
                <w:color w:val="172033"/>
                <w:sz w:val="18"/>
              </w:rPr>
              <w:t>Permite al SOC detectar tácticas/técnicas concretas.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33"/>
                <w:sz w:val="18"/>
              </w:rPr>
            </w:r>
            <w:r>
              <w:rPr>
                <w:rFonts w:ascii="Calibri" w:hAnsi="Calibri"/>
                <w:b w:val="0"/>
                <w:color w:val="172033"/>
                <w:sz w:val="18"/>
              </w:rPr>
              <w:t>MITRE D3FEND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33"/>
                <w:sz w:val="18"/>
              </w:rPr>
            </w:r>
            <w:r>
              <w:rPr>
                <w:rFonts w:ascii="Calibri" w:hAnsi="Calibri"/>
                <w:b w:val="0"/>
                <w:color w:val="172033"/>
                <w:sz w:val="18"/>
              </w:rPr>
              <w:t>Mapa defensivo: que contramedidas aplicar.</w:t>
            </w:r>
          </w:p>
        </w:tc>
        <w:tc>
          <w:tcPr>
            <w:tcW w:type="dxa" w:w="3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33"/>
                <w:sz w:val="18"/>
              </w:rPr>
            </w:r>
            <w:r>
              <w:rPr>
                <w:rFonts w:ascii="Calibri" w:hAnsi="Calibri"/>
                <w:b w:val="0"/>
                <w:color w:val="172033"/>
                <w:sz w:val="18"/>
              </w:rPr>
              <w:t>Convierte ataque en accion defensiva.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33"/>
                <w:sz w:val="18"/>
              </w:rPr>
            </w:r>
            <w:r>
              <w:rPr>
                <w:rFonts w:ascii="Calibri" w:hAnsi="Calibri"/>
                <w:b w:val="0"/>
                <w:color w:val="172033"/>
                <w:sz w:val="18"/>
              </w:rPr>
              <w:t>MITRE ATLAS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33"/>
                <w:sz w:val="18"/>
              </w:rPr>
            </w:r>
            <w:r>
              <w:rPr>
                <w:rFonts w:ascii="Calibri" w:hAnsi="Calibri"/>
                <w:b w:val="0"/>
                <w:color w:val="172033"/>
                <w:sz w:val="18"/>
              </w:rPr>
              <w:t>Riesgos de IA, agentes, modelos y automatización.</w:t>
            </w:r>
          </w:p>
        </w:tc>
        <w:tc>
          <w:tcPr>
            <w:tcW w:type="dxa" w:w="3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33"/>
                <w:sz w:val="18"/>
              </w:rPr>
            </w:r>
            <w:r>
              <w:rPr>
                <w:rFonts w:ascii="Calibri" w:hAnsi="Calibri"/>
                <w:b w:val="0"/>
                <w:color w:val="172033"/>
                <w:sz w:val="18"/>
              </w:rPr>
              <w:t>Evita dejar ciego el gobierno de IA.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33"/>
                <w:sz w:val="18"/>
              </w:rPr>
            </w:r>
            <w:r>
              <w:rPr>
                <w:rFonts w:ascii="Calibri" w:hAnsi="Calibri"/>
                <w:b w:val="0"/>
                <w:color w:val="172033"/>
                <w:sz w:val="18"/>
              </w:rPr>
              <w:t>PESTEL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33"/>
                <w:sz w:val="18"/>
              </w:rPr>
            </w:r>
            <w:r>
              <w:rPr>
                <w:rFonts w:ascii="Calibri" w:hAnsi="Calibri"/>
                <w:b w:val="0"/>
                <w:color w:val="172033"/>
                <w:sz w:val="18"/>
              </w:rPr>
              <w:t>Fuerzas politicas, economicas, sociales, tecnológicas, ambientales y legales.</w:t>
            </w:r>
          </w:p>
        </w:tc>
        <w:tc>
          <w:tcPr>
            <w:tcW w:type="dxa" w:w="3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33"/>
                <w:sz w:val="18"/>
              </w:rPr>
            </w:r>
            <w:r>
              <w:rPr>
                <w:rFonts w:ascii="Calibri" w:hAnsi="Calibri"/>
                <w:b w:val="0"/>
                <w:color w:val="172033"/>
                <w:sz w:val="18"/>
              </w:rPr>
              <w:t>Explica por qué el riesgo cambia por factores externos.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33"/>
                <w:sz w:val="18"/>
              </w:rPr>
            </w:r>
            <w:r>
              <w:rPr>
                <w:rFonts w:ascii="Calibri" w:hAnsi="Calibri"/>
                <w:b w:val="0"/>
                <w:color w:val="172033"/>
                <w:sz w:val="18"/>
              </w:rPr>
              <w:t>Porter Cyber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33"/>
                <w:sz w:val="18"/>
              </w:rPr>
            </w:r>
            <w:r>
              <w:rPr>
                <w:rFonts w:ascii="Calibri" w:hAnsi="Calibri"/>
                <w:b w:val="0"/>
                <w:color w:val="172033"/>
                <w:sz w:val="18"/>
              </w:rPr>
              <w:t>Rivalidad, proveedores, clientes, sustitutos y nuevos entrantes.</w:t>
            </w:r>
          </w:p>
        </w:tc>
        <w:tc>
          <w:tcPr>
            <w:tcW w:type="dxa" w:w="3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33"/>
                <w:sz w:val="18"/>
              </w:rPr>
            </w:r>
            <w:r>
              <w:rPr>
                <w:rFonts w:ascii="Calibri" w:hAnsi="Calibri"/>
                <w:b w:val="0"/>
                <w:color w:val="172033"/>
                <w:sz w:val="18"/>
              </w:rPr>
              <w:t>Evalua presion competitiva y de ecosistema.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33"/>
                <w:sz w:val="18"/>
              </w:rPr>
            </w:r>
            <w:r>
              <w:rPr>
                <w:rFonts w:ascii="Calibri" w:hAnsi="Calibri"/>
                <w:b w:val="0"/>
                <w:color w:val="172033"/>
                <w:sz w:val="18"/>
              </w:rPr>
              <w:t>Teoría de juegos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33"/>
                <w:sz w:val="18"/>
              </w:rPr>
            </w:r>
            <w:r>
              <w:rPr>
                <w:rFonts w:ascii="Calibri" w:hAnsi="Calibri"/>
                <w:b w:val="0"/>
                <w:color w:val="172033"/>
                <w:sz w:val="18"/>
              </w:rPr>
              <w:t>Minimax: elegir controles que reduzcan perdida en peor caso razonable.</w:t>
            </w:r>
          </w:p>
        </w:tc>
        <w:tc>
          <w:tcPr>
            <w:tcW w:type="dxa" w:w="3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33"/>
                <w:sz w:val="18"/>
              </w:rPr>
            </w:r>
            <w:r>
              <w:rPr>
                <w:rFonts w:ascii="Calibri" w:hAnsi="Calibri"/>
                <w:b w:val="0"/>
                <w:color w:val="172033"/>
                <w:sz w:val="18"/>
              </w:rPr>
              <w:t>Ayuda a priorizar cuando el atacante adapta su estrategia.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33"/>
                <w:sz w:val="18"/>
              </w:rPr>
            </w:r>
            <w:r>
              <w:rPr>
                <w:rFonts w:ascii="Calibri" w:hAnsi="Calibri"/>
                <w:b w:val="0"/>
                <w:color w:val="172033"/>
                <w:sz w:val="18"/>
              </w:rPr>
              <w:t>Teoría de control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33"/>
                <w:sz w:val="18"/>
              </w:rPr>
            </w:r>
            <w:r>
              <w:rPr>
                <w:rFonts w:ascii="Calibri" w:hAnsi="Calibri"/>
                <w:b w:val="0"/>
                <w:color w:val="172033"/>
                <w:sz w:val="18"/>
              </w:rPr>
              <w:t>Estado de riesgo + accion defensiva + presion de amenaza.</w:t>
            </w:r>
          </w:p>
        </w:tc>
        <w:tc>
          <w:tcPr>
            <w:tcW w:type="dxa" w:w="3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33"/>
                <w:sz w:val="18"/>
              </w:rPr>
            </w:r>
            <w:r>
              <w:rPr>
                <w:rFonts w:ascii="Calibri" w:hAnsi="Calibri"/>
                <w:b w:val="0"/>
                <w:color w:val="172033"/>
                <w:sz w:val="18"/>
              </w:rPr>
              <w:t>Permite pensar en estabilidad, feedback y anticipacion.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33"/>
                <w:sz w:val="18"/>
              </w:rPr>
            </w:r>
            <w:r>
              <w:rPr>
                <w:rFonts w:ascii="Calibri" w:hAnsi="Calibri"/>
                <w:b w:val="0"/>
                <w:color w:val="172033"/>
                <w:sz w:val="18"/>
              </w:rPr>
              <w:t>Análisis de inteligencia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33"/>
                <w:sz w:val="18"/>
              </w:rPr>
            </w:r>
            <w:r>
              <w:rPr>
                <w:rFonts w:ascii="Calibri" w:hAnsi="Calibri"/>
                <w:b w:val="0"/>
                <w:color w:val="172033"/>
                <w:sz w:val="18"/>
              </w:rPr>
              <w:t>Heuer/Kent: separar evidencia, inferencia, incertidumbre y alerta temprana.</w:t>
            </w:r>
          </w:p>
        </w:tc>
        <w:tc>
          <w:tcPr>
            <w:tcW w:type="dxa" w:w="3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33"/>
                <w:sz w:val="18"/>
              </w:rPr>
            </w:r>
            <w:r>
              <w:rPr>
                <w:rFonts w:ascii="Calibri" w:hAnsi="Calibri"/>
                <w:b w:val="0"/>
                <w:color w:val="172033"/>
                <w:sz w:val="18"/>
              </w:rPr>
              <w:t>Evita vender predicción como certeza.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33"/>
                <w:sz w:val="18"/>
              </w:rPr>
            </w:r>
            <w:r>
              <w:rPr>
                <w:rFonts w:ascii="Calibri" w:hAnsi="Calibri"/>
                <w:b w:val="0"/>
                <w:color w:val="172033"/>
                <w:sz w:val="18"/>
              </w:rPr>
              <w:t>Fraude estadistico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33"/>
                <w:sz w:val="18"/>
              </w:rPr>
            </w:r>
            <w:r>
              <w:rPr>
                <w:rFonts w:ascii="Calibri" w:hAnsi="Calibri"/>
                <w:b w:val="0"/>
                <w:color w:val="172033"/>
                <w:sz w:val="18"/>
              </w:rPr>
              <w:t>Señales, anomalías, patrones y monitoreo transaccional.</w:t>
            </w:r>
          </w:p>
        </w:tc>
        <w:tc>
          <w:tcPr>
            <w:tcW w:type="dxa" w:w="3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33"/>
                <w:sz w:val="18"/>
              </w:rPr>
            </w:r>
            <w:r>
              <w:rPr>
                <w:rFonts w:ascii="Calibri" w:hAnsi="Calibri"/>
                <w:b w:val="0"/>
                <w:color w:val="172033"/>
                <w:sz w:val="18"/>
              </w:rPr>
              <w:t>Conecta ciberseguridad con perdida financiera real.</w:t>
            </w:r>
          </w:p>
        </w:tc>
      </w:tr>
    </w:tbl>
    <w:p>
      <w:pPr>
        <w:pStyle w:val="Heading1"/>
        <w:keepNext/>
      </w:pPr>
      <w:r>
        <w:t>10. Cómo leer el informe generado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sz w:val="21"/>
        </w:rPr>
        <w:t>Resumen ejecutivo: postura, PESTEL, Porter y data exportada.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sz w:val="21"/>
        </w:rPr>
        <w:t>Cómo leer: explica el propósito de cada bloque.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sz w:val="21"/>
        </w:rPr>
        <w:t>Top riesgos: prioriza hallazgos por riesgo residual y owner.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sz w:val="21"/>
        </w:rPr>
        <w:t>Mapa 4x4 y radar-calor: muestran criticidad y tipos de ciberriesgo.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sz w:val="21"/>
        </w:rPr>
        <w:t>Tendencias, patrones y actores: evidencia repetida, fuentes y atribución sin inventar actores.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sz w:val="21"/>
        </w:rPr>
        <w:t>MITRE ATT&amp;CK/D3FEND/ATLAS: ataque, defensa e IA/automatización.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sz w:val="21"/>
        </w:rPr>
        <w:t>OSINT/SOCMINT/Dark Web: cobertura y limitaciones por fuente.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sz w:val="21"/>
        </w:rPr>
        <w:t>Resultados de búsquedas abiertas: evidencia web, redes publicas y dark web indexada.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sz w:val="21"/>
        </w:rPr>
        <w:t>Fraude financiero: lectura de presion antifraude y controles.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sz w:val="21"/>
        </w:rPr>
        <w:t>Estructura de riesgo y cálculos: explica los modelos matematicos.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sz w:val="21"/>
        </w:rPr>
        <w:t>Acciones por rol e indicadores tempranos: traduce análisis en decisión.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sz w:val="21"/>
        </w:rPr>
        <w:t>Fuentes y evidencia: auditoría de URLs y referencias.</w:t>
      </w:r>
    </w:p>
    <w:p>
      <w:pPr>
        <w:pStyle w:val="Heading1"/>
        <w:keepNext/>
      </w:pPr>
      <w:r>
        <w:t>11. Roles y decisiónes sugeridas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500"/>
        <w:gridCol w:w="4060"/>
      </w:tblGrid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</w:r>
            <w:r>
              <w:rPr>
                <w:rFonts w:ascii="Calibri" w:hAnsi="Calibri"/>
                <w:b/>
                <w:color w:val="0B2545"/>
                <w:sz w:val="18"/>
              </w:rPr>
              <w:t>Rol</w:t>
            </w:r>
          </w:p>
        </w:tc>
        <w:tc>
          <w:tcPr>
            <w:tcW w:type="dxa" w:w="3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</w:r>
            <w:r>
              <w:rPr>
                <w:rFonts w:ascii="Calibri" w:hAnsi="Calibri"/>
                <w:b/>
                <w:color w:val="0B2545"/>
                <w:sz w:val="18"/>
              </w:rPr>
              <w:t>Debe mirar primero</w:t>
            </w:r>
          </w:p>
        </w:tc>
        <w:tc>
          <w:tcPr>
            <w:tcW w:type="dxa" w:w="4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</w:r>
            <w:r>
              <w:rPr>
                <w:rFonts w:ascii="Calibri" w:hAnsi="Calibri"/>
                <w:b/>
                <w:color w:val="0B2545"/>
                <w:sz w:val="18"/>
              </w:rPr>
              <w:t>Decisiónes tipicas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33"/>
                <w:sz w:val="18"/>
              </w:rPr>
            </w:r>
            <w:r>
              <w:rPr>
                <w:rFonts w:ascii="Calibri" w:hAnsi="Calibri"/>
                <w:b w:val="0"/>
                <w:color w:val="172033"/>
                <w:sz w:val="18"/>
              </w:rPr>
              <w:t>CISO</w:t>
            </w:r>
          </w:p>
        </w:tc>
        <w:tc>
          <w:tcPr>
            <w:tcW w:type="dxa" w:w="3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33"/>
                <w:sz w:val="18"/>
              </w:rPr>
            </w:r>
            <w:r>
              <w:rPr>
                <w:rFonts w:ascii="Calibri" w:hAnsi="Calibri"/>
                <w:b w:val="0"/>
                <w:color w:val="172033"/>
                <w:sz w:val="18"/>
              </w:rPr>
              <w:t>Radar-calor, Top riesgos, ATT&amp;CK/D3FEND, forecast.</w:t>
            </w:r>
          </w:p>
        </w:tc>
        <w:tc>
          <w:tcPr>
            <w:tcW w:type="dxa" w:w="4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33"/>
                <w:sz w:val="18"/>
              </w:rPr>
            </w:r>
            <w:r>
              <w:rPr>
                <w:rFonts w:ascii="Calibri" w:hAnsi="Calibri"/>
                <w:b w:val="0"/>
                <w:color w:val="172033"/>
                <w:sz w:val="18"/>
              </w:rPr>
              <w:t>Priorizacion de controles, presupuesto, crisis, deteccion y respuesta.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33"/>
                <w:sz w:val="18"/>
              </w:rPr>
            </w:r>
            <w:r>
              <w:rPr>
                <w:rFonts w:ascii="Calibri" w:hAnsi="Calibri"/>
                <w:b w:val="0"/>
                <w:color w:val="172033"/>
                <w:sz w:val="18"/>
              </w:rPr>
              <w:t>SOC / CTI</w:t>
            </w:r>
          </w:p>
        </w:tc>
        <w:tc>
          <w:tcPr>
            <w:tcW w:type="dxa" w:w="3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33"/>
                <w:sz w:val="18"/>
              </w:rPr>
            </w:r>
            <w:r>
              <w:rPr>
                <w:rFonts w:ascii="Calibri" w:hAnsi="Calibri"/>
                <w:b w:val="0"/>
                <w:color w:val="172033"/>
                <w:sz w:val="18"/>
              </w:rPr>
              <w:t>MITRE ATT&amp;CK, tendencias, actores, evidencia.</w:t>
            </w:r>
          </w:p>
        </w:tc>
        <w:tc>
          <w:tcPr>
            <w:tcW w:type="dxa" w:w="4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33"/>
                <w:sz w:val="18"/>
              </w:rPr>
            </w:r>
            <w:r>
              <w:rPr>
                <w:rFonts w:ascii="Calibri" w:hAnsi="Calibri"/>
                <w:b w:val="0"/>
                <w:color w:val="172033"/>
                <w:sz w:val="18"/>
              </w:rPr>
              <w:t>Casos de uso SIEM/SOAR, hunting, reglas, monitoreo de TTP.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33"/>
                <w:sz w:val="18"/>
              </w:rPr>
            </w:r>
            <w:r>
              <w:rPr>
                <w:rFonts w:ascii="Calibri" w:hAnsi="Calibri"/>
                <w:b w:val="0"/>
                <w:color w:val="172033"/>
                <w:sz w:val="18"/>
              </w:rPr>
              <w:t>Fraude</w:t>
            </w:r>
          </w:p>
        </w:tc>
        <w:tc>
          <w:tcPr>
            <w:tcW w:type="dxa" w:w="3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33"/>
                <w:sz w:val="18"/>
              </w:rPr>
            </w:r>
            <w:r>
              <w:rPr>
                <w:rFonts w:ascii="Calibri" w:hAnsi="Calibri"/>
                <w:b w:val="0"/>
                <w:color w:val="172033"/>
                <w:sz w:val="18"/>
              </w:rPr>
              <w:t>Fraude financiero, OSINT/SOCMINT, búsquedas, radar fraude.</w:t>
            </w:r>
          </w:p>
        </w:tc>
        <w:tc>
          <w:tcPr>
            <w:tcW w:type="dxa" w:w="4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33"/>
                <w:sz w:val="18"/>
              </w:rPr>
            </w:r>
            <w:r>
              <w:rPr>
                <w:rFonts w:ascii="Calibri" w:hAnsi="Calibri"/>
                <w:b w:val="0"/>
                <w:color w:val="172033"/>
                <w:sz w:val="18"/>
              </w:rPr>
              <w:t>Takedown, reglas transaccionales, device intelligence, comunicacion a clientes.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33"/>
                <w:sz w:val="18"/>
              </w:rPr>
            </w:r>
            <w:r>
              <w:rPr>
                <w:rFonts w:ascii="Calibri" w:hAnsi="Calibri"/>
                <w:b w:val="0"/>
                <w:color w:val="172033"/>
                <w:sz w:val="18"/>
              </w:rPr>
              <w:t>Riesgo operativo</w:t>
            </w:r>
          </w:p>
        </w:tc>
        <w:tc>
          <w:tcPr>
            <w:tcW w:type="dxa" w:w="3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33"/>
                <w:sz w:val="18"/>
              </w:rPr>
            </w:r>
            <w:r>
              <w:rPr>
                <w:rFonts w:ascii="Calibri" w:hAnsi="Calibri"/>
                <w:b w:val="0"/>
                <w:color w:val="172033"/>
                <w:sz w:val="18"/>
              </w:rPr>
              <w:t>Matriz 4x4, PESTEL, Porter, Monte Carlo.</w:t>
            </w:r>
          </w:p>
        </w:tc>
        <w:tc>
          <w:tcPr>
            <w:tcW w:type="dxa" w:w="4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33"/>
                <w:sz w:val="18"/>
              </w:rPr>
            </w:r>
            <w:r>
              <w:rPr>
                <w:rFonts w:ascii="Calibri" w:hAnsi="Calibri"/>
                <w:b w:val="0"/>
                <w:color w:val="172033"/>
                <w:sz w:val="18"/>
              </w:rPr>
              <w:t>Aceptacion, mitigacion, transferencia o escalamiento de riesgos.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33"/>
                <w:sz w:val="18"/>
              </w:rPr>
            </w:r>
            <w:r>
              <w:rPr>
                <w:rFonts w:ascii="Calibri" w:hAnsi="Calibri"/>
                <w:b w:val="0"/>
                <w:color w:val="172033"/>
                <w:sz w:val="18"/>
              </w:rPr>
              <w:t>Legal / cumplimiento</w:t>
            </w:r>
          </w:p>
        </w:tc>
        <w:tc>
          <w:tcPr>
            <w:tcW w:type="dxa" w:w="3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33"/>
                <w:sz w:val="18"/>
              </w:rPr>
            </w:r>
            <w:r>
              <w:rPr>
                <w:rFonts w:ascii="Calibri" w:hAnsi="Calibri"/>
                <w:b w:val="0"/>
                <w:color w:val="172033"/>
                <w:sz w:val="18"/>
              </w:rPr>
              <w:t>Fuentes, limitaciones, evidencia, NIST/ISO/SOC2.</w:t>
            </w:r>
          </w:p>
        </w:tc>
        <w:tc>
          <w:tcPr>
            <w:tcW w:type="dxa" w:w="4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33"/>
                <w:sz w:val="18"/>
              </w:rPr>
            </w:r>
            <w:r>
              <w:rPr>
                <w:rFonts w:ascii="Calibri" w:hAnsi="Calibri"/>
                <w:b w:val="0"/>
                <w:color w:val="172033"/>
                <w:sz w:val="18"/>
              </w:rPr>
              <w:t>Trazabilidad, reporte regulatorio, contratos con terceros.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33"/>
                <w:sz w:val="18"/>
              </w:rPr>
            </w:r>
            <w:r>
              <w:rPr>
                <w:rFonts w:ascii="Calibri" w:hAnsi="Calibri"/>
                <w:b w:val="0"/>
                <w:color w:val="172033"/>
                <w:sz w:val="18"/>
              </w:rPr>
              <w:t>Tecnología / DevSecOps</w:t>
            </w:r>
          </w:p>
        </w:tc>
        <w:tc>
          <w:tcPr>
            <w:tcW w:type="dxa" w:w="3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33"/>
                <w:sz w:val="18"/>
              </w:rPr>
            </w:r>
            <w:r>
              <w:rPr>
                <w:rFonts w:ascii="Calibri" w:hAnsi="Calibri"/>
                <w:b w:val="0"/>
                <w:color w:val="172033"/>
                <w:sz w:val="18"/>
              </w:rPr>
              <w:t>Vulnerabilidades, EPSS/NVD/KEV, APIs/cloud, D3FEND.</w:t>
            </w:r>
          </w:p>
        </w:tc>
        <w:tc>
          <w:tcPr>
            <w:tcW w:type="dxa" w:w="4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33"/>
                <w:sz w:val="18"/>
              </w:rPr>
            </w:r>
            <w:r>
              <w:rPr>
                <w:rFonts w:ascii="Calibri" w:hAnsi="Calibri"/>
                <w:b w:val="0"/>
                <w:color w:val="172033"/>
                <w:sz w:val="18"/>
              </w:rPr>
              <w:t>Patching, hardening, SBOM, API security, cloud posture.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33"/>
                <w:sz w:val="18"/>
              </w:rPr>
            </w:r>
            <w:r>
              <w:rPr>
                <w:rFonts w:ascii="Calibri" w:hAnsi="Calibri"/>
                <w:b w:val="0"/>
                <w:color w:val="172033"/>
                <w:sz w:val="18"/>
              </w:rPr>
              <w:t>Continuidad</w:t>
            </w:r>
          </w:p>
        </w:tc>
        <w:tc>
          <w:tcPr>
            <w:tcW w:type="dxa" w:w="3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33"/>
                <w:sz w:val="18"/>
              </w:rPr>
            </w:r>
            <w:r>
              <w:rPr>
                <w:rFonts w:ascii="Calibri" w:hAnsi="Calibri"/>
                <w:b w:val="0"/>
                <w:color w:val="172033"/>
                <w:sz w:val="18"/>
              </w:rPr>
              <w:t>Dark web/ransomware, forecast, ransomware y continuidad.</w:t>
            </w:r>
          </w:p>
        </w:tc>
        <w:tc>
          <w:tcPr>
            <w:tcW w:type="dxa" w:w="4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33"/>
                <w:sz w:val="18"/>
              </w:rPr>
            </w:r>
            <w:r>
              <w:rPr>
                <w:rFonts w:ascii="Calibri" w:hAnsi="Calibri"/>
                <w:b w:val="0"/>
                <w:color w:val="172033"/>
                <w:sz w:val="18"/>
              </w:rPr>
              <w:t>Backups, ejercicios, RTO/RPO, crisis y resiliencia multisector.</w:t>
            </w:r>
          </w:p>
        </w:tc>
      </w:tr>
    </w:tbl>
    <w:p>
      <w:pPr>
        <w:pStyle w:val="Heading1"/>
        <w:keepNext/>
      </w:pPr>
      <w:r>
        <w:t>12. Qué falta configurar para producción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sz w:val="21"/>
        </w:rPr>
        <w:t>Definir si se usará NVD_API_KEY para mayor cuota/estabilidad en NVD.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sz w:val="21"/>
        </w:rPr>
        <w:t>Configurar MISP_URL y MISP_API_KEY si existe instancia MISP autorizada.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sz w:val="21"/>
        </w:rPr>
        <w:t>Configurar OPENCTI_URL y OPENCTI_API_KEY si se integrará OpenCTI.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sz w:val="21"/>
        </w:rPr>
        <w:t>Configurar TAXII real si se consume un servidor autorizado.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sz w:val="21"/>
        </w:rPr>
        <w:t>Configurar SHODAN_API_KEY y CENSYS_API_ID/CENSYS_API_SECRET solo para exposición pasiva dentro de alcance permitido.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sz w:val="21"/>
        </w:rPr>
        <w:t>Definir proceso de importación Dark Web redacted CSV/JSON, sin credenciales ni datos sensibles.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sz w:val="21"/>
        </w:rPr>
        <w:t>Revisar allow_tor: debe permanecer false salvo autorización explícita, entorno seguro y propósito legal claro.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sz w:val="21"/>
        </w:rPr>
        <w:t>Ajustar queries de web_search y socmint_public por marcas, filiales, productos, dominios y amenazas relevantes.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sz w:val="21"/>
        </w:rPr>
        <w:t>Ajustar maturity scores de control_maturity y fraud_maturity con evidencias reales de auditoría interna.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sz w:val="21"/>
        </w:rPr>
        <w:t>Definir responsables para revisar el CSV/JSON y cerrar hallazgos en Jira/ServiceNow/GRC si aplica.</w:t>
      </w:r>
    </w:p>
    <w:p>
      <w:pPr>
        <w:pStyle w:val="Heading1"/>
        <w:keepNext/>
      </w:pPr>
      <w:r>
        <w:t>13. Buenas prácticas de operación</w:t>
      </w:r>
    </w:p>
    <w:p>
      <w:pPr>
        <w:pStyle w:val="ListNumber"/>
        <w:spacing w:before="0" w:after="80" w:line="300" w:lineRule="auto"/>
      </w:pPr>
      <w:r>
        <w:rPr>
          <w:rFonts w:ascii="Calibri" w:hAnsi="Calibri"/>
          <w:sz w:val="21"/>
        </w:rPr>
        <w:t>Antes de correr: confirmar authorized_scope=true y alcance aprobado.</w:t>
      </w:r>
    </w:p>
    <w:p>
      <w:pPr>
        <w:pStyle w:val="ListNumber"/>
        <w:spacing w:before="0" w:after="80" w:line="300" w:lineRule="auto"/>
      </w:pPr>
      <w:r>
        <w:rPr>
          <w:rFonts w:ascii="Calibri" w:hAnsi="Calibri"/>
          <w:sz w:val="21"/>
        </w:rPr>
        <w:t>Ejecutar doctor y healthcheck si hubo cambios de entorno.</w:t>
      </w:r>
    </w:p>
    <w:p>
      <w:pPr>
        <w:pStyle w:val="ListNumber"/>
        <w:spacing w:before="0" w:after="80" w:line="300" w:lineRule="auto"/>
      </w:pPr>
      <w:r>
        <w:rPr>
          <w:rFonts w:ascii="Calibri" w:hAnsi="Calibri"/>
          <w:sz w:val="21"/>
        </w:rPr>
        <w:t>Usar --real-only para informes ejecutivos o regulatorios.</w:t>
      </w:r>
    </w:p>
    <w:p>
      <w:pPr>
        <w:pStyle w:val="ListNumber"/>
        <w:spacing w:before="0" w:after="80" w:line="300" w:lineRule="auto"/>
      </w:pPr>
      <w:r>
        <w:rPr>
          <w:rFonts w:ascii="Calibri" w:hAnsi="Calibri"/>
          <w:sz w:val="21"/>
        </w:rPr>
        <w:t>Documentar fecha, lookback y fuentes habilitadas en cada corrida.</w:t>
      </w:r>
    </w:p>
    <w:p>
      <w:pPr>
        <w:pStyle w:val="ListNumber"/>
        <w:spacing w:before="0" w:after="80" w:line="300" w:lineRule="auto"/>
      </w:pPr>
      <w:r>
        <w:rPr>
          <w:rFonts w:ascii="Calibri" w:hAnsi="Calibri"/>
          <w:sz w:val="21"/>
        </w:rPr>
        <w:t>No interpretar resultados de búsqueda como compromiso confirmado sin validación adicional.</w:t>
      </w:r>
    </w:p>
    <w:p>
      <w:pPr>
        <w:pStyle w:val="ListNumber"/>
        <w:spacing w:before="0" w:after="80" w:line="300" w:lineRule="auto"/>
      </w:pPr>
      <w:r>
        <w:rPr>
          <w:rFonts w:ascii="Calibri" w:hAnsi="Calibri"/>
          <w:sz w:val="21"/>
        </w:rPr>
        <w:t>Revisar el estado de fuentes skipped/partial; una fuente no disponible tambien es un dato de cobertura.</w:t>
      </w:r>
    </w:p>
    <w:p>
      <w:pPr>
        <w:pStyle w:val="ListNumber"/>
        <w:spacing w:before="0" w:after="80" w:line="300" w:lineRule="auto"/>
      </w:pPr>
      <w:r>
        <w:rPr>
          <w:rFonts w:ascii="Calibri" w:hAnsi="Calibri"/>
          <w:sz w:val="21"/>
        </w:rPr>
        <w:t>Guardar HTML, JSON y CSV como evidencia de la corrida.</w:t>
      </w:r>
    </w:p>
    <w:p>
      <w:pPr>
        <w:pStyle w:val="ListNumber"/>
        <w:spacing w:before="0" w:after="80" w:line="300" w:lineRule="auto"/>
      </w:pPr>
      <w:r>
        <w:rPr>
          <w:rFonts w:ascii="Calibri" w:hAnsi="Calibri"/>
          <w:sz w:val="21"/>
        </w:rPr>
        <w:t>Revisar cambios de queries/fuentes en control de versiones o bitácora operativa.</w:t>
      </w:r>
    </w:p>
    <w:p>
      <w:pPr>
        <w:pStyle w:val="Heading1"/>
        <w:keepNext/>
      </w:pPr>
      <w:r>
        <w:t>14. Limitaciones y lectura responsable</w:t>
      </w:r>
    </w:p>
    <w:tbl>
      <w:tblPr>
        <w:tblW w:type="dxa" w:w="912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120"/>
      </w:tblGrid>
      <w:tr>
        <w:tc>
          <w:tcPr>
            <w:tcW w:type="dxa" w:w="912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fill="F4F6F9"/>
          </w:tcPr>
          <w:p>
            <w:pPr>
              <w:spacing w:before="0" w:after="40" w:line="288" w:lineRule="auto"/>
            </w:pPr>
            <w:r>
              <w:rPr>
                <w:rFonts w:ascii="Calibri" w:hAnsi="Calibri"/>
                <w:b/>
                <w:color w:val="1F4D78"/>
              </w:rPr>
              <w:t>No es una bola de cristal</w:t>
            </w:r>
          </w:p>
          <w:p>
            <w:pPr>
              <w:spacing w:before="0" w:after="0" w:line="288" w:lineRule="auto"/>
            </w:pPr>
            <w:r>
              <w:rPr>
                <w:rFonts w:ascii="Calibri" w:hAnsi="Calibri"/>
                <w:sz w:val="20"/>
              </w:rPr>
              <w:t>El motor estima probabilidad relativa y prioridad de decisión. La ausencia de resultados en una fuente no significa ausencia de amenaza; puede significar que la fuente no cubre ese dominio, no respondio, exige API key o esta fuera del alcance autorizado.</w:t>
            </w:r>
          </w:p>
        </w:tc>
      </w:tr>
    </w:tbl>
    <w:p/>
    <w:p>
      <w:pPr>
        <w:pStyle w:val="ListBullet"/>
        <w:spacing w:before="0" w:after="80" w:line="300" w:lineRule="auto"/>
      </w:pPr>
      <w:r>
        <w:rPr>
          <w:rFonts w:ascii="Calibri" w:hAnsi="Calibri"/>
          <w:sz w:val="21"/>
        </w:rPr>
        <w:t>Los modelos dependen de la calidad, recencia y cobertura de fuentes.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sz w:val="21"/>
        </w:rPr>
        <w:t>La atribución de actores se conserva solo cuando la fuente la declara; no se inventan grupos.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sz w:val="21"/>
        </w:rPr>
        <w:t>Las señales dark web se tratan como metadatos o índices públicos/autorizados, no como descarga de contenido ilícito.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sz w:val="21"/>
        </w:rPr>
        <w:t>El resultado debe complementarse con telemetría interna: SIEM, EDR, WAF, IAM, fraude transaccional, incidentes y vulnerabilidades internas.</w:t>
      </w:r>
    </w:p>
    <w:p>
      <w:pPr>
        <w:pStyle w:val="Heading1"/>
        <w:keepNext/>
      </w:pPr>
      <w:r>
        <w:t>15. Referencias metodológicas y fuentes</w:t>
      </w:r>
    </w:p>
    <w:p>
      <w:pPr>
        <w:pStyle w:val="ManualSmall"/>
        <w:spacing w:before="0" w:after="40" w:line="264" w:lineRule="auto"/>
      </w:pPr>
      <w:r>
        <w:rPr>
          <w:rFonts w:ascii="Calibri" w:hAnsi="Calibri"/>
          <w:b/>
          <w:color w:val="1F4D78"/>
          <w:sz w:val="18"/>
        </w:rPr>
        <w:t xml:space="preserve">NIST CSF 2.0: </w:t>
      </w:r>
      <w:hyperlink r:id="rId11">
        <w:r>
          <w:rPr>
            <w:color w:val="2458A6"/>
            <w:u w:val="single"/>
          </w:rPr>
          <w:t>https://csrc.nist.gov/pubs/cswp/29/the-nist-cybersecurity-framework-csf-20/final</w:t>
        </w:r>
      </w:hyperlink>
    </w:p>
    <w:p>
      <w:pPr>
        <w:pStyle w:val="ManualSmall"/>
        <w:spacing w:before="0" w:after="40" w:line="264" w:lineRule="auto"/>
      </w:pPr>
      <w:r>
        <w:rPr>
          <w:rFonts w:ascii="Calibri" w:hAnsi="Calibri"/>
          <w:b/>
          <w:color w:val="1F4D78"/>
          <w:sz w:val="18"/>
        </w:rPr>
        <w:t xml:space="preserve">NIST SP 800-30 Rev. 1: </w:t>
      </w:r>
      <w:hyperlink r:id="rId12">
        <w:r>
          <w:rPr>
            <w:color w:val="2458A6"/>
            <w:u w:val="single"/>
          </w:rPr>
          <w:t>https://csrc.nist.gov/pubs/sp/800/30/r1/final</w:t>
        </w:r>
      </w:hyperlink>
    </w:p>
    <w:p>
      <w:pPr>
        <w:pStyle w:val="ManualSmall"/>
        <w:spacing w:before="0" w:after="40" w:line="264" w:lineRule="auto"/>
      </w:pPr>
      <w:r>
        <w:rPr>
          <w:rFonts w:ascii="Calibri" w:hAnsi="Calibri"/>
          <w:b/>
          <w:color w:val="1F4D78"/>
          <w:sz w:val="18"/>
        </w:rPr>
        <w:t xml:space="preserve">NIST SP 800-53 Rev. 5 update 1: </w:t>
      </w:r>
      <w:hyperlink r:id="rId13">
        <w:r>
          <w:rPr>
            <w:color w:val="2458A6"/>
            <w:u w:val="single"/>
          </w:rPr>
          <w:t>https://csrc.nist.gov/pubs/sp/800/53/r5/upd1/final</w:t>
        </w:r>
      </w:hyperlink>
    </w:p>
    <w:p>
      <w:pPr>
        <w:pStyle w:val="ManualSmall"/>
        <w:spacing w:before="0" w:after="40" w:line="264" w:lineRule="auto"/>
      </w:pPr>
      <w:r>
        <w:rPr>
          <w:rFonts w:ascii="Calibri" w:hAnsi="Calibri"/>
          <w:b/>
          <w:color w:val="1F4D78"/>
          <w:sz w:val="18"/>
        </w:rPr>
        <w:t xml:space="preserve">NIST SP 800-63-4 Digital Identity: </w:t>
      </w:r>
      <w:hyperlink r:id="rId14">
        <w:r>
          <w:rPr>
            <w:color w:val="2458A6"/>
            <w:u w:val="single"/>
          </w:rPr>
          <w:t>https://csrc.nist.gov/pubs/sp/800/63/4/final</w:t>
        </w:r>
      </w:hyperlink>
    </w:p>
    <w:p>
      <w:pPr>
        <w:pStyle w:val="ManualSmall"/>
        <w:spacing w:before="0" w:after="40" w:line="264" w:lineRule="auto"/>
      </w:pPr>
      <w:r>
        <w:rPr>
          <w:rFonts w:ascii="Calibri" w:hAnsi="Calibri"/>
          <w:b/>
          <w:color w:val="1F4D78"/>
          <w:sz w:val="18"/>
        </w:rPr>
        <w:t xml:space="preserve">CISA KEV Catalog: </w:t>
      </w:r>
      <w:hyperlink r:id="rId15">
        <w:r>
          <w:rPr>
            <w:color w:val="2458A6"/>
            <w:u w:val="single"/>
          </w:rPr>
          <w:t>https://www.cisa.gov/known-exploited-vulnerabilities-catalog</w:t>
        </w:r>
      </w:hyperlink>
    </w:p>
    <w:p>
      <w:pPr>
        <w:pStyle w:val="ManualSmall"/>
        <w:spacing w:before="0" w:after="40" w:line="264" w:lineRule="auto"/>
      </w:pPr>
      <w:r>
        <w:rPr>
          <w:rFonts w:ascii="Calibri" w:hAnsi="Calibri"/>
          <w:b/>
          <w:color w:val="1F4D78"/>
          <w:sz w:val="18"/>
        </w:rPr>
        <w:t xml:space="preserve">FIRST EPSS: </w:t>
      </w:r>
      <w:hyperlink r:id="rId16">
        <w:r>
          <w:rPr>
            <w:color w:val="2458A6"/>
            <w:u w:val="single"/>
          </w:rPr>
          <w:t>https://www.first.org/epss/</w:t>
        </w:r>
      </w:hyperlink>
    </w:p>
    <w:p>
      <w:pPr>
        <w:pStyle w:val="ManualSmall"/>
        <w:spacing w:before="0" w:after="40" w:line="264" w:lineRule="auto"/>
      </w:pPr>
      <w:r>
        <w:rPr>
          <w:rFonts w:ascii="Calibri" w:hAnsi="Calibri"/>
          <w:b/>
          <w:color w:val="1F4D78"/>
          <w:sz w:val="18"/>
        </w:rPr>
        <w:t xml:space="preserve">MITRE ATT&amp;CK Data and Tools: </w:t>
      </w:r>
      <w:hyperlink r:id="rId17">
        <w:r>
          <w:rPr>
            <w:color w:val="2458A6"/>
            <w:u w:val="single"/>
          </w:rPr>
          <w:t>https://attack.mitre.org/resources/attack-data-and-tools/</w:t>
        </w:r>
      </w:hyperlink>
    </w:p>
    <w:p>
      <w:pPr>
        <w:pStyle w:val="ManualSmall"/>
        <w:spacing w:before="0" w:after="40" w:line="264" w:lineRule="auto"/>
      </w:pPr>
      <w:r>
        <w:rPr>
          <w:rFonts w:ascii="Calibri" w:hAnsi="Calibri"/>
          <w:b/>
          <w:color w:val="1F4D78"/>
          <w:sz w:val="18"/>
        </w:rPr>
        <w:t xml:space="preserve">MITRE D3FEND: </w:t>
      </w:r>
      <w:hyperlink r:id="rId18">
        <w:r>
          <w:rPr>
            <w:color w:val="2458A6"/>
            <w:u w:val="single"/>
          </w:rPr>
          <w:t>https://d3fend.mitre.org/</w:t>
        </w:r>
      </w:hyperlink>
    </w:p>
    <w:p>
      <w:pPr>
        <w:pStyle w:val="ManualSmall"/>
        <w:spacing w:before="0" w:after="40" w:line="264" w:lineRule="auto"/>
      </w:pPr>
      <w:r>
        <w:rPr>
          <w:rFonts w:ascii="Calibri" w:hAnsi="Calibri"/>
          <w:b/>
          <w:color w:val="1F4D78"/>
          <w:sz w:val="18"/>
        </w:rPr>
        <w:t xml:space="preserve">MITRE ATLAS: </w:t>
      </w:r>
      <w:hyperlink r:id="rId19">
        <w:r>
          <w:rPr>
            <w:color w:val="2458A6"/>
            <w:u w:val="single"/>
          </w:rPr>
          <w:t>https://atlas.mitre.org/</w:t>
        </w:r>
      </w:hyperlink>
    </w:p>
    <w:p>
      <w:pPr>
        <w:pStyle w:val="ManualSmall"/>
        <w:spacing w:before="0" w:after="40" w:line="264" w:lineRule="auto"/>
      </w:pPr>
      <w:r>
        <w:rPr>
          <w:rFonts w:ascii="Calibri" w:hAnsi="Calibri"/>
          <w:b/>
          <w:color w:val="1F4D78"/>
          <w:sz w:val="18"/>
        </w:rPr>
        <w:t xml:space="preserve">OASIS STIX/TAXII: </w:t>
      </w:r>
      <w:hyperlink r:id="rId20">
        <w:r>
          <w:rPr>
            <w:color w:val="2458A6"/>
            <w:u w:val="single"/>
          </w:rPr>
          <w:t>https://oasis-open.github.io/cti-documentation/</w:t>
        </w:r>
      </w:hyperlink>
    </w:p>
    <w:p>
      <w:pPr>
        <w:pStyle w:val="ManualSmall"/>
        <w:spacing w:before="0" w:after="40" w:line="264" w:lineRule="auto"/>
      </w:pPr>
      <w:r>
        <w:rPr>
          <w:rFonts w:ascii="Calibri" w:hAnsi="Calibri"/>
          <w:b/>
          <w:color w:val="1F4D78"/>
          <w:sz w:val="18"/>
        </w:rPr>
        <w:t xml:space="preserve">MISP Project: </w:t>
      </w:r>
      <w:hyperlink r:id="rId21">
        <w:r>
          <w:rPr>
            <w:color w:val="2458A6"/>
            <w:u w:val="single"/>
          </w:rPr>
          <w:t>https://www.misp-project.org/</w:t>
        </w:r>
      </w:hyperlink>
    </w:p>
    <w:p>
      <w:pPr>
        <w:pStyle w:val="ManualSmall"/>
        <w:spacing w:before="0" w:after="40" w:line="264" w:lineRule="auto"/>
      </w:pPr>
      <w:r>
        <w:rPr>
          <w:rFonts w:ascii="Calibri" w:hAnsi="Calibri"/>
          <w:b/>
          <w:color w:val="1F4D78"/>
          <w:sz w:val="18"/>
        </w:rPr>
        <w:t xml:space="preserve">OpenCTI: </w:t>
      </w:r>
      <w:hyperlink r:id="rId22">
        <w:r>
          <w:rPr>
            <w:color w:val="2458A6"/>
            <w:u w:val="single"/>
          </w:rPr>
          <w:t>https://filigran.io/solutions/open-cti/</w:t>
        </w:r>
      </w:hyperlink>
    </w:p>
    <w:p>
      <w:pPr>
        <w:pStyle w:val="ManualSmall"/>
        <w:spacing w:before="0" w:after="40" w:line="264" w:lineRule="auto"/>
      </w:pPr>
      <w:r>
        <w:rPr>
          <w:rFonts w:ascii="Calibri" w:hAnsi="Calibri"/>
          <w:b/>
          <w:color w:val="1F4D78"/>
          <w:sz w:val="18"/>
        </w:rPr>
        <w:t xml:space="preserve">Google News RSS Search: </w:t>
      </w:r>
      <w:hyperlink r:id="rId23">
        <w:r>
          <w:rPr>
            <w:color w:val="2458A6"/>
            <w:u w:val="single"/>
          </w:rPr>
          <w:t>https://news.google.com/rss/search</w:t>
        </w:r>
      </w:hyperlink>
    </w:p>
    <w:p>
      <w:pPr>
        <w:pStyle w:val="ManualSmall"/>
        <w:spacing w:before="0" w:after="40" w:line="264" w:lineRule="auto"/>
      </w:pPr>
      <w:r>
        <w:rPr>
          <w:rFonts w:ascii="Calibri" w:hAnsi="Calibri"/>
          <w:b/>
          <w:color w:val="1F4D78"/>
          <w:sz w:val="18"/>
        </w:rPr>
        <w:t xml:space="preserve">Reddit public search RSS: </w:t>
      </w:r>
      <w:hyperlink r:id="rId24">
        <w:r>
          <w:rPr>
            <w:color w:val="2458A6"/>
            <w:u w:val="single"/>
          </w:rPr>
          <w:t>https://www.reddit.com/search.rss</w:t>
        </w:r>
      </w:hyperlink>
    </w:p>
    <w:p>
      <w:pPr>
        <w:pStyle w:val="ManualSmall"/>
        <w:spacing w:before="0" w:after="40" w:line="264" w:lineRule="auto"/>
      </w:pPr>
      <w:r>
        <w:rPr>
          <w:rFonts w:ascii="Calibri" w:hAnsi="Calibri"/>
          <w:b/>
          <w:color w:val="1F4D78"/>
          <w:sz w:val="18"/>
        </w:rPr>
        <w:t xml:space="preserve">Ransomware.live API: </w:t>
      </w:r>
      <w:hyperlink r:id="rId25">
        <w:r>
          <w:rPr>
            <w:color w:val="2458A6"/>
            <w:u w:val="single"/>
          </w:rPr>
          <w:t>https://api.ransomware.live/apidocs/</w:t>
        </w:r>
      </w:hyperlink>
    </w:p>
    <w:p>
      <w:pPr>
        <w:pStyle w:val="ManualSmall"/>
        <w:spacing w:before="0" w:after="40" w:line="264" w:lineRule="auto"/>
      </w:pPr>
      <w:r>
        <w:rPr>
          <w:rFonts w:ascii="Calibri" w:hAnsi="Calibri"/>
          <w:b/>
          <w:color w:val="1F4D78"/>
          <w:sz w:val="18"/>
        </w:rPr>
        <w:t xml:space="preserve">Ahmia Tor Search Terms: </w:t>
      </w:r>
      <w:hyperlink r:id="rId26">
        <w:r>
          <w:rPr>
            <w:color w:val="2458A6"/>
            <w:u w:val="single"/>
          </w:rPr>
          <w:t>https://ahmia.fi/terms/</w:t>
        </w:r>
      </w:hyperlink>
    </w:p>
    <w:p>
      <w:pPr>
        <w:pStyle w:val="ManualSmall"/>
        <w:spacing w:before="0" w:after="40" w:line="264" w:lineRule="auto"/>
      </w:pPr>
      <w:r>
        <w:rPr>
          <w:rFonts w:ascii="Calibri" w:hAnsi="Calibri"/>
          <w:b/>
          <w:color w:val="1F4D78"/>
          <w:sz w:val="18"/>
        </w:rPr>
        <w:t xml:space="preserve">FBI IC3 Annual Reports: </w:t>
      </w:r>
      <w:hyperlink r:id="rId27">
        <w:r>
          <w:rPr>
            <w:color w:val="2458A6"/>
            <w:u w:val="single"/>
          </w:rPr>
          <w:t>https://www.ic3.gov/annualreport/reports</w:t>
        </w:r>
      </w:hyperlink>
    </w:p>
    <w:p>
      <w:pPr>
        <w:pStyle w:val="ManualSmall"/>
        <w:spacing w:before="0" w:after="40" w:line="264" w:lineRule="auto"/>
      </w:pPr>
      <w:r>
        <w:rPr>
          <w:rFonts w:ascii="Calibri" w:hAnsi="Calibri"/>
          <w:b/>
          <w:color w:val="1F4D78"/>
          <w:sz w:val="18"/>
        </w:rPr>
        <w:t xml:space="preserve">ENISA Threat Landscape Finance Sector: </w:t>
      </w:r>
      <w:hyperlink r:id="rId28">
        <w:r>
          <w:rPr>
            <w:color w:val="2458A6"/>
            <w:u w:val="single"/>
          </w:rPr>
          <w:t>https://www.enisa.europa.eu/publications/enisa-threat-landscape-finance-sector</w:t>
        </w:r>
      </w:hyperlink>
    </w:p>
    <w:p>
      <w:pPr>
        <w:pStyle w:val="ManualSmall"/>
        <w:spacing w:before="0" w:after="40" w:line="264" w:lineRule="auto"/>
      </w:pPr>
      <w:r>
        <w:rPr>
          <w:rFonts w:ascii="Calibri" w:hAnsi="Calibri"/>
          <w:b/>
          <w:color w:val="1F4D78"/>
          <w:sz w:val="18"/>
        </w:rPr>
        <w:t xml:space="preserve">ACFE Report to the Nations: </w:t>
      </w:r>
      <w:hyperlink r:id="rId29">
        <w:r>
          <w:rPr>
            <w:color w:val="2458A6"/>
            <w:u w:val="single"/>
          </w:rPr>
          <w:t>https://legacy.acfe.com/report-to-the-nations/2024/</w:t>
        </w:r>
      </w:hyperlink>
    </w:p>
    <w:p>
      <w:pPr>
        <w:pStyle w:val="ManualSmall"/>
        <w:spacing w:before="0" w:after="40" w:line="264" w:lineRule="auto"/>
      </w:pPr>
      <w:r>
        <w:rPr>
          <w:rFonts w:ascii="Calibri" w:hAnsi="Calibri"/>
          <w:b/>
          <w:color w:val="1F4D78"/>
          <w:sz w:val="18"/>
        </w:rPr>
        <w:t xml:space="preserve">Bolton and Hand, Statistical Fraud Detection: </w:t>
      </w:r>
      <w:hyperlink r:id="rId30">
        <w:r>
          <w:rPr>
            <w:color w:val="2458A6"/>
            <w:u w:val="single"/>
          </w:rPr>
          <w:t>https://projecteuclid.org/journals/statistical-science/volume-17/issue-3/Statistical-Fraud-Detection-A-Review/10.1214/ss/1042727940.pdf</w:t>
        </w:r>
      </w:hyperlink>
    </w:p>
    <w:p>
      <w:pPr>
        <w:pStyle w:val="ManualSmall"/>
        <w:spacing w:before="0" w:after="40" w:line="264" w:lineRule="auto"/>
      </w:pPr>
      <w:r>
        <w:rPr>
          <w:rFonts w:ascii="Calibri" w:hAnsi="Calibri"/>
          <w:b/>
          <w:color w:val="1F4D78"/>
          <w:sz w:val="18"/>
        </w:rPr>
        <w:t xml:space="preserve">Richards Heuer, Psychology of Intelligence Analysis: </w:t>
      </w:r>
      <w:hyperlink r:id="rId31">
        <w:r>
          <w:rPr>
            <w:color w:val="2458A6"/>
            <w:u w:val="single"/>
          </w:rPr>
          <w:t>https://www.ialeia.org/docs/Psychology_of_Intelligence_Analysis.pdf</w:t>
        </w:r>
      </w:hyperlink>
    </w:p>
    <w:p>
      <w:pPr>
        <w:pStyle w:val="ManualSmall"/>
        <w:spacing w:before="0" w:after="40" w:line="264" w:lineRule="auto"/>
      </w:pPr>
      <w:r>
        <w:rPr>
          <w:rFonts w:ascii="Calibri" w:hAnsi="Calibri"/>
          <w:b/>
          <w:color w:val="1F4D78"/>
          <w:sz w:val="18"/>
        </w:rPr>
        <w:t xml:space="preserve">Sherman Kent and Strategic Warning: </w:t>
      </w:r>
      <w:hyperlink r:id="rId32">
        <w:r>
          <w:rPr>
            <w:color w:val="2458A6"/>
            <w:u w:val="single"/>
          </w:rPr>
          <w:t>https://tnsr.org/2018/08/beacon-and-warning-sherman-kent-scientific-hubris-and-the-cias-office-of-national-estimates/</w:t>
        </w:r>
      </w:hyperlink>
    </w:p>
    <w:p>
      <w:pPr>
        <w:pStyle w:val="Heading1"/>
        <w:keepNext/>
      </w:pPr>
      <w:r>
        <w:t>16. Checklist rápido antes de entregar un informe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sz w:val="21"/>
        </w:rPr>
        <w:t>El comando se corrió con --real-only cuando el informe es ejecutivo.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sz w:val="21"/>
        </w:rPr>
        <w:t>El JSON/CSV contiene eventos con URL y 0 demo_events.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sz w:val="21"/>
        </w:rPr>
        <w:t>El HTML abre sin errores visuales y las tablas son legibles en portátil.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sz w:val="21"/>
        </w:rPr>
        <w:t>Las fuentes partial/skipped están explicadas y no se reemplazaron por datos ficticios.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sz w:val="21"/>
        </w:rPr>
        <w:t>Las recomendaciones por rol fueron revisadas por CISO/riesgo/fraude/SOC.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sz w:val="21"/>
        </w:rPr>
        <w:t>El informe conserva fecha, lookback, fuente, categoría, actor, técnica, CVE y URL donde aplica.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color w:val="5C667A"/>
        <w:sz w:val="16"/>
      </w:rPr>
      <w:t>Uso defensivo, pasivo y autorizado. No ejecutar contra terceros sin alcance aprobado.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Calibri" w:hAnsi="Calibri"/>
        <w:color w:val="5C667A"/>
        <w:sz w:val="17"/>
      </w:rPr>
      <w:t>CyberDecisionEngine | Manual de uso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1720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anualSmall">
    <w:name w:val="Manual Small"/>
    <w:pPr>
      <w:spacing w:after="80" w:line="276" w:lineRule="auto"/>
    </w:pPr>
    <w:rPr>
      <w:rFonts w:ascii="Calibri" w:hAnsi="Calibri"/>
      <w:color w:val="5C667A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csrc.nist.gov/pubs/cswp/29/the-nist-cybersecurity-framework-csf-20/final" TargetMode="External"/><Relationship Id="rId12" Type="http://schemas.openxmlformats.org/officeDocument/2006/relationships/hyperlink" Target="https://csrc.nist.gov/pubs/sp/800/30/r1/final" TargetMode="External"/><Relationship Id="rId13" Type="http://schemas.openxmlformats.org/officeDocument/2006/relationships/hyperlink" Target="https://csrc.nist.gov/pubs/sp/800/53/r5/upd1/final" TargetMode="External"/><Relationship Id="rId14" Type="http://schemas.openxmlformats.org/officeDocument/2006/relationships/hyperlink" Target="https://csrc.nist.gov/pubs/sp/800/63/4/final" TargetMode="External"/><Relationship Id="rId15" Type="http://schemas.openxmlformats.org/officeDocument/2006/relationships/hyperlink" Target="https://www.cisa.gov/known-exploited-vulnerabilities-catalog" TargetMode="External"/><Relationship Id="rId16" Type="http://schemas.openxmlformats.org/officeDocument/2006/relationships/hyperlink" Target="https://www.first.org/epss/" TargetMode="External"/><Relationship Id="rId17" Type="http://schemas.openxmlformats.org/officeDocument/2006/relationships/hyperlink" Target="https://attack.mitre.org/resources/attack-data-and-tools/" TargetMode="External"/><Relationship Id="rId18" Type="http://schemas.openxmlformats.org/officeDocument/2006/relationships/hyperlink" Target="https://d3fend.mitre.org/" TargetMode="External"/><Relationship Id="rId19" Type="http://schemas.openxmlformats.org/officeDocument/2006/relationships/hyperlink" Target="https://atlas.mitre.org/" TargetMode="External"/><Relationship Id="rId20" Type="http://schemas.openxmlformats.org/officeDocument/2006/relationships/hyperlink" Target="https://oasis-open.github.io/cti-documentation/" TargetMode="External"/><Relationship Id="rId21" Type="http://schemas.openxmlformats.org/officeDocument/2006/relationships/hyperlink" Target="https://www.misp-project.org/" TargetMode="External"/><Relationship Id="rId22" Type="http://schemas.openxmlformats.org/officeDocument/2006/relationships/hyperlink" Target="https://filigran.io/solutions/open-cti/" TargetMode="External"/><Relationship Id="rId23" Type="http://schemas.openxmlformats.org/officeDocument/2006/relationships/hyperlink" Target="https://news.google.com/rss/search" TargetMode="External"/><Relationship Id="rId24" Type="http://schemas.openxmlformats.org/officeDocument/2006/relationships/hyperlink" Target="https://www.reddit.com/search.rss" TargetMode="External"/><Relationship Id="rId25" Type="http://schemas.openxmlformats.org/officeDocument/2006/relationships/hyperlink" Target="https://api.ransomware.live/apidocs/" TargetMode="External"/><Relationship Id="rId26" Type="http://schemas.openxmlformats.org/officeDocument/2006/relationships/hyperlink" Target="https://ahmia.fi/terms/" TargetMode="External"/><Relationship Id="rId27" Type="http://schemas.openxmlformats.org/officeDocument/2006/relationships/hyperlink" Target="https://www.ic3.gov/annualreport/reports" TargetMode="External"/><Relationship Id="rId28" Type="http://schemas.openxmlformats.org/officeDocument/2006/relationships/hyperlink" Target="https://www.enisa.europa.eu/publications/enisa-threat-landscape-finance-sector" TargetMode="External"/><Relationship Id="rId29" Type="http://schemas.openxmlformats.org/officeDocument/2006/relationships/hyperlink" Target="https://legacy.acfe.com/report-to-the-nations/2024/" TargetMode="External"/><Relationship Id="rId30" Type="http://schemas.openxmlformats.org/officeDocument/2006/relationships/hyperlink" Target="https://projecteuclid.org/journals/statistical-science/volume-17/issue-3/Statistical-Fraud-Detection-A-Review/10.1214/ss/1042727940.pdf" TargetMode="External"/><Relationship Id="rId31" Type="http://schemas.openxmlformats.org/officeDocument/2006/relationships/hyperlink" Target="https://www.ialeia.org/docs/Psychology_of_Intelligence_Analysis.pdf" TargetMode="External"/><Relationship Id="rId32" Type="http://schemas.openxmlformats.org/officeDocument/2006/relationships/hyperlink" Target="https://tnsr.org/2018/08/beacon-and-warning-sherman-kent-scientific-hubris-and-the-cias-office-of-national-estimate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Uso y Operacion CyberDecisionEngine - Grupo Aval</dc:title>
  <dc:subject>Guia operativa, funcional, matematica y metodologica</dc:subject>
  <dc:creator>CyberDecisionEngine / Edwin Penuela</dc:creator>
  <cp:keywords>ciberinteligencia, ciberriesgo, fraude, OSINT, SOCMINT, Dark Web, MITRE, NIST</cp:keywords>
  <dc:description>Documento generado automaticamente desde la plataforma local CyberDecisionEngine.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