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1.xml"/>
  <Override ContentType="application/vnd.openxmlformats-officedocument.wordprocessingml.footer+xml" PartName="/word/footer1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F6E7A" w:sz="18" w:space="6"/>
        </w:pBdr>
        <w:spacing w:after="40"/>
      </w:pPr>
      <w:r>
        <w:rPr>
          <w:rFonts w:ascii="Arial" w:cs="Arial" w:eastAsia="Arial" w:hAnsi="Arial"/>
          <w:b/>
          <w:bCs/>
          <w:color w:val="1F3864"/>
          <w:spacing w:val="60"/>
          <w:sz w:val="30"/>
          <w:szCs w:val="30"/>
        </w:rPr>
        <w:t xml:space="preserve">SRIVIN PLATFORMS</w:t>
      </w:r>
    </w:p>
    <w:p>
      <w:pPr>
        <w:spacing w:after="1800"/>
      </w:pPr>
      <w:r>
        <w:rPr>
          <w:rFonts w:ascii="Arial" w:cs="Arial" w:eastAsia="Arial" w:hAnsi="Arial"/>
          <w:b w:val="false"/>
          <w:bCs w:val="false"/>
          <w:color w:val="5A5A5A"/>
          <w:sz w:val="18"/>
          <w:szCs w:val="18"/>
        </w:rPr>
        <w:t xml:space="preserve">Delivery partner to RacingAhead / SportSeek</w:t>
      </w:r>
    </w:p>
    <w:p>
      <w:pPr>
        <w:spacing w:after="120"/>
      </w:pPr>
      <w:r>
        <w:rPr>
          <w:rFonts w:ascii="Arial" w:cs="Arial" w:eastAsia="Arial" w:hAnsi="Arial"/>
          <w:b/>
          <w:bCs/>
          <w:color w:val="0F6E7A"/>
          <w:sz w:val="24"/>
          <w:szCs w:val="24"/>
        </w:rPr>
        <w:t xml:space="preserve">SportSeek — Unified Sports Ecosystem Platform</w:t>
      </w:r>
    </w:p>
    <w:p>
      <w:pPr>
        <w:spacing w:after="160"/>
      </w:pPr>
      <w:r>
        <w:rPr>
          <w:rFonts w:ascii="Arial" w:cs="Arial" w:eastAsia="Arial" w:hAnsi="Arial"/>
          <w:b/>
          <w:bCs/>
          <w:color w:val="1F3864"/>
          <w:sz w:val="52"/>
          <w:szCs w:val="52"/>
        </w:rPr>
        <w:t xml:space="preserve">Work Breakdown Structure &amp; Integrated Project Plan</w:t>
      </w:r>
    </w:p>
    <w:p>
      <w:pPr>
        <w:spacing w:after="900"/>
      </w:pPr>
      <w:r>
        <w:rPr>
          <w:rFonts w:ascii="Arial" w:cs="Arial" w:eastAsia="Arial" w:hAnsi="Arial"/>
          <w:b w:val="false"/>
          <w:bCs w:val="false"/>
          <w:color w:val="1A1A1A"/>
          <w:sz w:val="26"/>
          <w:szCs w:val="26"/>
        </w:rPr>
        <w:t xml:space="preserve">Phase 2A — Harden &amp; Unify, including the 20 October 2026 public launch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Document control</w:t>
            </w:r>
          </w:p>
        </w:tc>
        <w:tc>
          <w:tcPr>
            <w:tcW w:type="dxa" w:w="67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Document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SRV-SPS-2A-PLN-001</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Programme</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 Phase 2A (Harden &amp; Unify)</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Client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RacingAhead / SportSeek, Hyderabad</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Prepared by</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Srivin Platforms — Technical Programme Management Office</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Version / date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v1.0 — 27 September 2026</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Status</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Issued for client review</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Reference baseline</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SportSeek Phase 2 SOW v1.0 (15 Jul 2026); SportsSeek App High Level Requirements</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Classification</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val="false"/>
                <w:bCs w:val="false"/>
                <w:color w:val="1A1A1A"/>
                <w:sz w:val="18"/>
                <w:szCs w:val="18"/>
              </w:rPr>
              <w:t xml:space="preserve">Confidential — RacingAhead / SportSeek and Srivin Platforms only</w:t>
            </w:r>
          </w:p>
        </w:tc>
      </w:tr>
    </w:tbl>
    <w:p>
      <w:pPr>
        <w:spacing w:after="140"/>
      </w:pPr>
    </w:p>
    <w:p>
      <w:pPr>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pPr>
    </w:p>
    <w:p>
      <w:pPr>
        <w:spacing w:after="200" w:before="0"/>
      </w:pPr>
      <w:r>
        <w:rPr>
          <w:rFonts w:ascii="Arial" w:cs="Arial" w:eastAsia="Arial" w:hAnsi="Arial"/>
          <w:b/>
          <w:bCs/>
          <w:color w:val="1F3864"/>
          <w:sz w:val="32"/>
          <w:szCs w:val="32"/>
        </w:rPr>
        <w:t xml:space="preserve">Contents</w:t>
      </w:r>
    </w:p>
    <w:p>
      <w:pPr>
        <w:pBdr>
          <w:bottom w:val="dotted" w:color="D5D8DE" w:sz="4" w:space="3"/>
        </w:pBdr>
        <w:spacing w:after="90"/>
      </w:pPr>
      <w:r>
        <w:rPr>
          <w:rFonts w:ascii="Arial" w:cs="Arial" w:eastAsia="Arial" w:hAnsi="Arial"/>
          <w:color w:val="1A1A1A"/>
          <w:sz w:val="21"/>
          <w:szCs w:val="21"/>
        </w:rPr>
        <w:t xml:space="preserve">1. Purpose and how to use this plan</w:t>
      </w:r>
    </w:p>
    <w:p>
      <w:pPr>
        <w:pBdr>
          <w:bottom w:val="dotted" w:color="D5D8DE" w:sz="4" w:space="3"/>
        </w:pBdr>
        <w:spacing w:after="90"/>
      </w:pPr>
      <w:r>
        <w:rPr>
          <w:rFonts w:ascii="Arial" w:cs="Arial" w:eastAsia="Arial" w:hAnsi="Arial"/>
          <w:color w:val="1A1A1A"/>
          <w:sz w:val="21"/>
          <w:szCs w:val="21"/>
        </w:rPr>
        <w:t xml:space="preserve">2. Executive summary</w:t>
      </w:r>
    </w:p>
    <w:p>
      <w:pPr>
        <w:pBdr>
          <w:bottom w:val="dotted" w:color="D5D8DE" w:sz="4" w:space="3"/>
        </w:pBdr>
        <w:spacing w:after="90"/>
      </w:pPr>
      <w:r>
        <w:rPr>
          <w:rFonts w:ascii="Arial" w:cs="Arial" w:eastAsia="Arial" w:hAnsi="Arial"/>
          <w:color w:val="1A1A1A"/>
          <w:sz w:val="21"/>
          <w:szCs w:val="21"/>
        </w:rPr>
        <w:t xml:space="preserve">3. Feasibility of the 20 October 2026 target</w:t>
      </w:r>
    </w:p>
    <w:p>
      <w:pPr>
        <w:pBdr>
          <w:bottom w:val="dotted" w:color="D5D8DE" w:sz="4" w:space="3"/>
        </w:pBdr>
        <w:spacing w:after="90"/>
      </w:pPr>
      <w:r>
        <w:rPr>
          <w:rFonts w:ascii="Arial" w:cs="Arial" w:eastAsia="Arial" w:hAnsi="Arial"/>
          <w:color w:val="1A1A1A"/>
          <w:sz w:val="21"/>
          <w:szCs w:val="21"/>
        </w:rPr>
        <w:t xml:space="preserve">4. Release strategy for Phase 2A</w:t>
      </w:r>
    </w:p>
    <w:p>
      <w:pPr>
        <w:pBdr>
          <w:bottom w:val="dotted" w:color="D5D8DE" w:sz="4" w:space="3"/>
        </w:pBdr>
        <w:spacing w:after="90"/>
      </w:pPr>
      <w:r>
        <w:rPr>
          <w:rFonts w:ascii="Arial" w:cs="Arial" w:eastAsia="Arial" w:hAnsi="Arial"/>
          <w:color w:val="1A1A1A"/>
          <w:sz w:val="21"/>
          <w:szCs w:val="21"/>
        </w:rPr>
        <w:t xml:space="preserve">5. Planning basis and assumptions</w:t>
      </w:r>
    </w:p>
    <w:p>
      <w:pPr>
        <w:pBdr>
          <w:bottom w:val="dotted" w:color="D5D8DE" w:sz="4" w:space="3"/>
        </w:pBdr>
        <w:spacing w:after="90"/>
      </w:pPr>
      <w:r>
        <w:rPr>
          <w:rFonts w:ascii="Arial" w:cs="Arial" w:eastAsia="Arial" w:hAnsi="Arial"/>
          <w:color w:val="1A1A1A"/>
          <w:sz w:val="21"/>
          <w:szCs w:val="21"/>
        </w:rPr>
        <w:t xml:space="preserve">6. Work Breakdown Structure (WBS) and WBS dictionary</w:t>
      </w:r>
    </w:p>
    <w:p>
      <w:pPr>
        <w:pBdr>
          <w:bottom w:val="dotted" w:color="D5D8DE" w:sz="4" w:space="3"/>
        </w:pBdr>
        <w:spacing w:after="90"/>
      </w:pPr>
      <w:r>
        <w:rPr>
          <w:rFonts w:ascii="Arial" w:cs="Arial" w:eastAsia="Arial" w:hAnsi="Arial"/>
          <w:color w:val="1A1A1A"/>
          <w:sz w:val="21"/>
          <w:szCs w:val="21"/>
        </w:rPr>
        <w:t xml:space="preserve">7. Integrated schedule (Gantt)</w:t>
      </w:r>
    </w:p>
    <w:p>
      <w:pPr>
        <w:pBdr>
          <w:bottom w:val="dotted" w:color="D5D8DE" w:sz="4" w:space="3"/>
        </w:pBdr>
        <w:spacing w:after="90"/>
      </w:pPr>
      <w:r>
        <w:rPr>
          <w:rFonts w:ascii="Arial" w:cs="Arial" w:eastAsia="Arial" w:hAnsi="Arial"/>
          <w:color w:val="1A1A1A"/>
          <w:sz w:val="21"/>
          <w:szCs w:val="21"/>
        </w:rPr>
        <w:t xml:space="preserve">8. Detailed activity schedule</w:t>
      </w:r>
    </w:p>
    <w:p>
      <w:pPr>
        <w:pBdr>
          <w:bottom w:val="dotted" w:color="D5D8DE" w:sz="4" w:space="3"/>
        </w:pBdr>
        <w:spacing w:after="90"/>
      </w:pPr>
      <w:r>
        <w:rPr>
          <w:rFonts w:ascii="Arial" w:cs="Arial" w:eastAsia="Arial" w:hAnsi="Arial"/>
          <w:color w:val="1A1A1A"/>
          <w:sz w:val="21"/>
          <w:szCs w:val="21"/>
        </w:rPr>
        <w:t xml:space="preserve">9. Dependency management</w:t>
      </w:r>
    </w:p>
    <w:p>
      <w:pPr>
        <w:pBdr>
          <w:bottom w:val="dotted" w:color="D5D8DE" w:sz="4" w:space="3"/>
        </w:pBdr>
        <w:spacing w:after="90"/>
      </w:pPr>
      <w:r>
        <w:rPr>
          <w:rFonts w:ascii="Arial" w:cs="Arial" w:eastAsia="Arial" w:hAnsi="Arial"/>
          <w:color w:val="1A1A1A"/>
          <w:sz w:val="21"/>
          <w:szCs w:val="21"/>
        </w:rPr>
        <w:t xml:space="preserve">10. Critical path and schedule risk</w:t>
      </w:r>
    </w:p>
    <w:p>
      <w:pPr>
        <w:pBdr>
          <w:bottom w:val="dotted" w:color="D5D8DE" w:sz="4" w:space="3"/>
        </w:pBdr>
        <w:spacing w:after="90"/>
      </w:pPr>
      <w:r>
        <w:rPr>
          <w:rFonts w:ascii="Arial" w:cs="Arial" w:eastAsia="Arial" w:hAnsi="Arial"/>
          <w:color w:val="1A1A1A"/>
          <w:sz w:val="21"/>
          <w:szCs w:val="21"/>
        </w:rPr>
        <w:t xml:space="preserve">11. Milestones, gates and acceptance evidence</w:t>
      </w:r>
    </w:p>
    <w:p>
      <w:pPr>
        <w:pBdr>
          <w:bottom w:val="dotted" w:color="D5D8DE" w:sz="4" w:space="3"/>
        </w:pBdr>
        <w:spacing w:after="90"/>
      </w:pPr>
      <w:r>
        <w:rPr>
          <w:rFonts w:ascii="Arial" w:cs="Arial" w:eastAsia="Arial" w:hAnsi="Arial"/>
          <w:color w:val="1A1A1A"/>
          <w:sz w:val="21"/>
          <w:szCs w:val="21"/>
        </w:rPr>
        <w:t xml:space="preserve">12. Sprint calendar</w:t>
      </w:r>
    </w:p>
    <w:p>
      <w:pPr>
        <w:pBdr>
          <w:bottom w:val="dotted" w:color="D5D8DE" w:sz="4" w:space="3"/>
        </w:pBdr>
        <w:spacing w:after="90"/>
      </w:pPr>
      <w:r>
        <w:rPr>
          <w:rFonts w:ascii="Arial" w:cs="Arial" w:eastAsia="Arial" w:hAnsi="Arial"/>
          <w:color w:val="1A1A1A"/>
          <w:sz w:val="21"/>
          <w:szCs w:val="21"/>
        </w:rPr>
        <w:t xml:space="preserve">13. Resource plan, loading and technical skills</w:t>
      </w:r>
    </w:p>
    <w:p>
      <w:pPr>
        <w:pBdr>
          <w:bottom w:val="dotted" w:color="D5D8DE" w:sz="4" w:space="3"/>
        </w:pBdr>
        <w:spacing w:after="90"/>
      </w:pPr>
      <w:r>
        <w:rPr>
          <w:rFonts w:ascii="Arial" w:cs="Arial" w:eastAsia="Arial" w:hAnsi="Arial"/>
          <w:color w:val="1A1A1A"/>
          <w:sz w:val="21"/>
          <w:szCs w:val="21"/>
        </w:rPr>
        <w:t xml:space="preserve">14. Baseline control and re-planning rules</w:t>
      </w:r>
    </w:p>
    <w:p>
      <w:pPr>
        <w:pBdr>
          <w:bottom w:val="dotted" w:color="D5D8DE" w:sz="4" w:space="3"/>
        </w:pBdr>
        <w:spacing w:after="90"/>
      </w:pPr>
      <w:r>
        <w:rPr>
          <w:rFonts w:ascii="Arial" w:cs="Arial" w:eastAsia="Arial" w:hAnsi="Arial"/>
          <w:color w:val="1A1A1A"/>
          <w:sz w:val="21"/>
          <w:szCs w:val="21"/>
        </w:rPr>
        <w:t xml:space="preserve">Appendix A. SOW-to-WBS traceability</w:t>
      </w:r>
    </w:p>
    <w:p>
      <w:pPr>
        <w:pStyle w:val="Heading1"/>
        <w:pageBreakBefore/>
      </w:pPr>
      <w:r>
        <w:t xml:space="preserve">1. Purpose and how to use this plan</w:t>
      </w:r>
    </w:p>
    <w:p>
      <w:pPr>
        <w:spacing w:after="120" w:line="276"/>
      </w:pPr>
      <w:r>
        <w:rPr>
          <w:rFonts w:ascii="Arial" w:cs="Arial" w:eastAsia="Arial" w:hAnsi="Arial"/>
          <w:color w:val="1A1A1A"/>
        </w:rPr>
        <w:t xml:space="preserve">This document is the integrated project plan for Phase 2A of the SportSeek programme, prepared by Srivin Platforms as delivery partner to RacingAhead / SportSeek. It breaks the Phase 2A scope defined in the SportSeek Phase 2 Statement of Work (SOW) into a Work Breakdown Structure (WBS), schedules every work package, and makes each dependency, whether internal or on SportSeek and third parties, explicit and dated.</w:t>
      </w:r>
    </w:p>
    <w:p>
      <w:pPr>
        <w:spacing w:after="120" w:line="276"/>
      </w:pPr>
      <w:r>
        <w:rPr>
          <w:rFonts w:ascii="Arial" w:cs="Arial" w:eastAsia="Arial" w:hAnsi="Arial"/>
          <w:color w:val="1A1A1A"/>
        </w:rPr>
        <w:t xml:space="preserve">The plan is built only from what the two source documents state. Where the SOW flags an item as open (marked ⚑ in the SOW), this plan does not assume an answer. It records the item as a dated decision that SportSeek needs to make (Section 9.3), along with what happens to the schedule if the decision is late.</w:t>
      </w:r>
    </w:p>
    <w:p>
      <w:pPr>
        <w:pStyle w:val="Heading2"/>
        <w:keepNext/>
      </w:pPr>
      <w:r>
        <w:t xml:space="preserve">1.1 Companion documents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cantSplit/>
          <w:tblHeader/>
        </w:trPr>
        <w:tc>
          <w:tcPr>
            <w:tcW w:type="dxa" w:w="28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Document</w:t>
            </w:r>
          </w:p>
        </w:tc>
        <w:tc>
          <w:tcPr>
            <w:tcW w:type="dxa" w:w="674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Purpose</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SRV-SPS-2A-PLN-001 (this document)</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WBS, schedule, dependencies, critical path, milestones, resource loading and skills</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SRV-SPS-2A-DLM-002 Project Delivery Model</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How we deliver: lifecycle, agile cadence, governance, quality, release, change, risk, KT and support</w:t>
            </w:r>
          </w:p>
        </w:tc>
      </w:tr>
      <w:tr>
        <w:trPr>
          <w:cantSplit/>
        </w:trPr>
        <w:tc>
          <w:tcPr>
            <w:tcW w:type="dxa" w:w="28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SRV-SPS-2A-TAD-003 Technical Approach</w:t>
            </w:r>
          </w:p>
        </w:tc>
        <w:tc>
          <w:tcPr>
            <w:tcW w:type="dxa" w:w="674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How we solve the problem technically: architecture, per-module design approach, engineering practices</w:t>
            </w:r>
          </w:p>
        </w:tc>
      </w:tr>
      <w:tr>
        <w:trPr>
          <w:cantSplit/>
        </w:trPr>
        <w:tc>
          <w:tcPr>
            <w:tcW w:type="dxa" w:w="28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SRV-SPS-2A-PLN-001a Project Plan workbook (.xlsx)</w:t>
            </w:r>
          </w:p>
        </w:tc>
        <w:tc>
          <w:tcPr>
            <w:tcW w:type="dxa" w:w="674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The same schedule, dependency register and resource loading in spreadsheet form, for import into SportSeek's chosen tool (JIRA or Trello)</w:t>
            </w:r>
          </w:p>
        </w:tc>
      </w:tr>
    </w:tbl>
    <w:p>
      <w:pPr>
        <w:spacing w:after="140"/>
      </w:pPr>
    </w:p>
    <w:p>
      <w:pPr>
        <w:pStyle w:val="Heading2"/>
        <w:keepNext/>
      </w:pPr>
      <w:r>
        <w:t xml:space="preserve">1.2 Conventions</w:t>
      </w:r>
    </w:p>
    <w:p>
      <w:pPr>
        <w:pStyle w:val="ListParagraph"/>
        <w:numPr>
          <w:ilvl w:val="0"/>
          <w:numId w:val="2"/>
        </w:numPr>
        <w:spacing w:after="60" w:line="264"/>
      </w:pPr>
      <w:r>
        <w:rPr>
          <w:rFonts w:ascii="Arial" w:cs="Arial" w:eastAsia="Arial" w:hAnsi="Arial"/>
          <w:b/>
          <w:bCs/>
          <w:color w:val="1A1A1A"/>
        </w:rPr>
        <w:t xml:space="preserve">Dates</w:t>
      </w:r>
      <w:r>
        <w:rPr>
          <w:rFonts w:ascii="Arial" w:cs="Arial" w:eastAsia="Arial" w:hAnsi="Arial"/>
          <w:color w:val="1A1A1A"/>
        </w:rPr>
        <w:t xml:space="preserve"> are calendar dates in IST. Durations are in working days (Monday–Friday). Indian public and festival holidays will be applied once the joint holiday calendar is agreed at kick-off (see Assumption A6).</w:t>
      </w:r>
    </w:p>
    <w:p>
      <w:pPr>
        <w:pStyle w:val="ListParagraph"/>
        <w:numPr>
          <w:ilvl w:val="0"/>
          <w:numId w:val="2"/>
        </w:numPr>
        <w:spacing w:after="60" w:line="264"/>
      </w:pPr>
      <w:r>
        <w:rPr>
          <w:rFonts w:ascii="Arial" w:cs="Arial" w:eastAsia="Arial" w:hAnsi="Arial"/>
          <w:b/>
          <w:bCs/>
          <w:color w:val="1A1A1A"/>
        </w:rPr>
        <w:t xml:space="preserve">Owner</w:t>
      </w:r>
      <w:r>
        <w:rPr>
          <w:rFonts w:ascii="Arial" w:cs="Arial" w:eastAsia="Arial" w:hAnsi="Arial"/>
          <w:color w:val="1A1A1A"/>
        </w:rPr>
        <w:t xml:space="preserve">: "Srivin" = Srivin Platforms; "SportSeek" = RacingAhead / SportSeek; "Joint" = both parties, with Srivin driving.</w:t>
      </w:r>
    </w:p>
    <w:p>
      <w:pPr>
        <w:pStyle w:val="ListParagraph"/>
        <w:numPr>
          <w:ilvl w:val="0"/>
          <w:numId w:val="2"/>
        </w:numPr>
        <w:spacing w:after="60" w:line="264"/>
      </w:pPr>
      <w:r>
        <w:rPr>
          <w:rFonts w:ascii="Arial" w:cs="Arial" w:eastAsia="Arial" w:hAnsi="Arial"/>
          <w:b/>
          <w:bCs/>
          <w:color w:val="1A1A1A"/>
        </w:rPr>
        <w:t xml:space="preserve">Predecessors</w:t>
      </w:r>
      <w:r>
        <w:rPr>
          <w:rFonts w:ascii="Arial" w:cs="Arial" w:eastAsia="Arial" w:hAnsi="Arial"/>
          <w:color w:val="1A1A1A"/>
        </w:rPr>
        <w:t xml:space="preserve"> use WBS IDs. A bare ID means Finish-to-Start (FS). "SS" means Start-to-Start. IDs starting with "D" are external dependencies from the register in Section 9.3.</w:t>
      </w:r>
    </w:p>
    <w:p>
      <w:pPr>
        <w:pStyle w:val="ListParagraph"/>
        <w:numPr>
          <w:ilvl w:val="0"/>
          <w:numId w:val="2"/>
        </w:numPr>
        <w:spacing w:after="60" w:line="264"/>
      </w:pPr>
      <w:r>
        <w:rPr>
          <w:rFonts w:ascii="Arial" w:cs="Arial" w:eastAsia="Arial" w:hAnsi="Arial"/>
          <w:b/>
          <w:bCs/>
          <w:color w:val="1A1A1A"/>
        </w:rPr>
        <w:t xml:space="preserve">Milestone numbers M1–M6</w:t>
      </w:r>
      <w:r>
        <w:rPr>
          <w:rFonts w:ascii="Arial" w:cs="Arial" w:eastAsia="Arial" w:hAnsi="Arial"/>
          <w:color w:val="1A1A1A"/>
        </w:rPr>
        <w:t xml:space="preserve"> keep the SOW Section 12.1 numbering so both parties can trace them.</w:t>
      </w:r>
    </w:p>
    <w:p>
      <w:pPr>
        <w:pStyle w:val="Heading1"/>
        <w:pageBreakBefore/>
      </w:pPr>
      <w:r>
        <w:t xml:space="preserve">2. Executive summary</w:t>
      </w:r>
    </w:p>
    <w:p>
      <w:pPr>
        <w:spacing w:after="120" w:line="276"/>
      </w:pPr>
      <w:r>
        <w:rPr>
          <w:rFonts w:ascii="Arial" w:cs="Arial" w:eastAsia="Arial" w:hAnsi="Arial"/>
          <w:color w:val="1A1A1A"/>
        </w:rPr>
        <w:t xml:space="preserve">Phase 2A turns SportSeek's live Phase 1 product (User App, Partner App and Admin Web Portal) into a unified platform. It adds one shared identity, one transaction view, one generalised partner/service model, a multi-channel notification platform, hardened booking/event flows and a full web application. The SOW's own indicative estimates put this at 26–37 weeks of work if done in sequence, before knowledge transfer.</w:t>
      </w:r>
    </w:p>
    <w:p>
      <w:pPr>
        <w:spacing w:after="120" w:line="276"/>
      </w:pPr>
      <w:r>
        <w:rPr>
          <w:rFonts w:ascii="Arial" w:cs="Arial" w:eastAsia="Arial" w:hAnsi="Arial"/>
          <w:color w:val="1A1A1A"/>
        </w:rPr>
        <w:t xml:space="preserve">SportSeek wants to be available to the public on </w:t>
      </w:r>
      <w:r>
        <w:rPr>
          <w:rFonts w:ascii="Arial" w:cs="Arial" w:eastAsia="Arial" w:hAnsi="Arial"/>
          <w:b/>
          <w:bCs/>
          <w:color w:val="1A1A1A"/>
        </w:rPr>
        <w:t xml:space="preserve">20 October 2026</w:t>
      </w:r>
      <w:r>
        <w:rPr>
          <w:rFonts w:ascii="Arial" w:cs="Arial" w:eastAsia="Arial" w:hAnsi="Arial"/>
          <w:color w:val="1A1A1A"/>
        </w:rPr>
        <w:t xml:space="preserve">. We have planned for that date directly and honestly: </w:t>
      </w:r>
      <w:r>
        <w:rPr>
          <w:rFonts w:ascii="Arial" w:cs="Arial" w:eastAsia="Arial" w:hAnsi="Arial"/>
          <w:b/>
          <w:bCs/>
          <w:color w:val="1A1A1A"/>
        </w:rPr>
        <w:t xml:space="preserve">SportSeek goes public on 20 October 2026 with a hardened, security-tested and monitored Phase 1 product (Release 2A.0).</w:t>
      </w:r>
      <w:r>
        <w:rPr>
          <w:rFonts w:ascii="Arial" w:cs="Arial" w:eastAsia="Arial" w:hAnsi="Arial"/>
          <w:color w:val="1A1A1A"/>
        </w:rPr>
        <w:t xml:space="preserve"> The remaining Phase 2A scope follows in three planned releases, each with its own UAT, go-live and knowledge transfer. That gives the public a stable product on the target date and does not risk an unstable launch of half-built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5476"/>
        <w:gridCol w:w="1753"/>
      </w:tblGrid>
      <w:tr>
        <w:trPr>
          <w:cantSplit/>
          <w:tblHeader/>
        </w:trPr>
        <w:tc>
          <w:tcPr>
            <w:tcW w:type="dxa" w:w="240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Release</w:t>
            </w:r>
          </w:p>
        </w:tc>
        <w:tc>
          <w:tcPr>
            <w:tcW w:type="dxa" w:w="547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What goes live</w:t>
            </w:r>
          </w:p>
        </w:tc>
        <w:tc>
          <w:tcPr>
            <w:tcW w:type="dxa" w:w="175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Go-live</w:t>
            </w:r>
          </w:p>
        </w:tc>
      </w:tr>
      <w:tr>
        <w:trPr>
          <w:cantSplit/>
        </w:trPr>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2A.0 Public Launch</w:t>
            </w:r>
          </w:p>
        </w:tc>
        <w:tc>
          <w:tcPr>
            <w:tcW w:type="dxa" w:w="54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Phase 1 User App, Partner App and Admin Portal, hardened for public traffic: critical/high defects closed, security-tested, load-tested, monitored, store- and DPDP-ready. Plus gate-approved quick wins only.</w:t>
            </w:r>
          </w:p>
        </w:tc>
        <w:tc>
          <w:tcPr>
            <w:tcW w:type="dxa" w:w="17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Tue 20 Oct 2026</w:t>
            </w:r>
          </w:p>
        </w:tc>
      </w:tr>
      <w:tr>
        <w:trPr>
          <w:cantSplit/>
        </w:trPr>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2A.1 Unify</w:t>
            </w:r>
          </w:p>
        </w:tc>
        <w:tc>
          <w:tcPr>
            <w:tcW w:type="dxa" w:w="54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M2 Shared Identity (account linking, roles, KYC reuse, migration of existing accounts) + M6 Notification core (Push, Email, templates, role-scoped preferences)</w:t>
            </w:r>
          </w:p>
        </w:tc>
        <w:tc>
          <w:tcPr>
            <w:tcW w:type="dxa" w:w="17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Wed 27 Jan 2027</w:t>
            </w:r>
          </w:p>
        </w:tc>
      </w:tr>
      <w:tr>
        <w:trPr>
          <w:cantSplit/>
        </w:trPr>
        <w:tc>
          <w:tcPr>
            <w:tcW w:type="dxa" w:w="240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2A.2 Generalise &amp; Harden</w:t>
            </w:r>
          </w:p>
        </w:tc>
        <w:tc>
          <w:tcPr>
            <w:tcW w:type="dxa" w:w="547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M5 Generalised Partner &amp; Service model (coach, physio, nutritionist) + M4 Booking/Events hardening (cancellation, refunds, waitlist, edit notifications) + WhatsApp + full alert catalog</w:t>
            </w:r>
          </w:p>
        </w:tc>
        <w:tc>
          <w:tcPr>
            <w:tcW w:type="dxa" w:w="175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Tue 16 Mar 2027</w:t>
            </w:r>
          </w:p>
        </w:tc>
      </w:tr>
      <w:tr>
        <w:trPr>
          <w:cantSplit/>
        </w:trPr>
        <w:tc>
          <w:tcPr>
            <w:tcW w:type="dxa" w:w="240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2A.3 Transact &amp; Web</w:t>
            </w:r>
          </w:p>
        </w:tc>
        <w:tc>
          <w:tcPr>
            <w:tcW w:type="dxa" w:w="547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M3 Transaction Ledger + full Web Application + data import tools. </w:t>
            </w:r>
            <w:r>
              <w:rPr>
                <w:rFonts w:ascii="Arial" w:cs="Arial" w:eastAsia="Arial" w:hAnsi="Arial"/>
                <w:b/>
                <w:bCs/>
                <w:color w:val="1A1A1A"/>
                <w:sz w:val="18"/>
                <w:szCs w:val="18"/>
              </w:rPr>
              <w:t xml:space="preserve">Phase 2A complete.</w:t>
            </w:r>
          </w:p>
        </w:tc>
        <w:tc>
          <w:tcPr>
            <w:tcW w:type="dxa" w:w="175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Tue 4 May 2027</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1F3864" w:sz="24"/>
              <w:bottom w:val="none" w:color="FFFFFF" w:sz="0"/>
              <w:right w:val="none" w:color="FFFFFF" w:sz="0"/>
            </w:tcBorders>
            <w:shd w:fill="EAEFF8" w:color="auto" w:val="clear"/>
            <w:tcMar>
              <w:top w:type="dxa" w:w="110"/>
              <w:left w:type="dxa" w:w="180"/>
              <w:bottom w:type="dxa" w:w="110"/>
              <w:right w:type="dxa" w:w="160"/>
            </w:tcMar>
          </w:tcPr>
          <w:p>
            <w:pPr>
              <w:spacing w:after="60"/>
            </w:pPr>
            <w:r>
              <w:rPr>
                <w:rFonts w:ascii="Arial" w:cs="Arial" w:eastAsia="Arial" w:hAnsi="Arial"/>
                <w:b/>
                <w:bCs/>
                <w:color w:val="1F3864"/>
                <w:sz w:val="20"/>
                <w:szCs w:val="20"/>
              </w:rPr>
              <w:t xml:space="preserve">Key messages for the steering committee</w:t>
            </w:r>
          </w:p>
          <w:p>
            <w:pPr>
              <w:spacing w:after="50" w:line="260"/>
            </w:pPr>
            <w:r>
              <w:rPr>
                <w:rFonts w:ascii="Arial" w:cs="Arial" w:eastAsia="Arial" w:hAnsi="Arial"/>
                <w:b/>
                <w:bCs/>
                <w:color w:val="1A1A1A"/>
                <w:sz w:val="19"/>
                <w:szCs w:val="19"/>
              </w:rPr>
              <w:t xml:space="preserve">1.</w:t>
            </w:r>
            <w:r>
              <w:rPr>
                <w:rFonts w:ascii="Arial" w:cs="Arial" w:eastAsia="Arial" w:hAnsi="Arial"/>
                <w:color w:val="1A1A1A"/>
                <w:sz w:val="19"/>
                <w:szCs w:val="19"/>
              </w:rPr>
              <w:t xml:space="preserve"> 20 October 2026 is achievable for a hardened public launch. It depends on seven SportSeek inputs arriving between 29 September and 9 October (D1–D7). The most time-critical are code and infrastructure access on 29 September and launch scope sign-off on 1 October.</w:t>
            </w:r>
          </w:p>
          <w:p>
            <w:pPr>
              <w:spacing w:after="50" w:line="260"/>
            </w:pPr>
            <w:r>
              <w:rPr>
                <w:rFonts w:ascii="Arial" w:cs="Arial" w:eastAsia="Arial" w:hAnsi="Arial"/>
                <w:b/>
                <w:bCs/>
                <w:color w:val="1A1A1A"/>
                <w:sz w:val="19"/>
                <w:szCs w:val="19"/>
              </w:rPr>
              <w:t xml:space="preserve">2.</w:t>
            </w:r>
            <w:r>
              <w:rPr>
                <w:rFonts w:ascii="Arial" w:cs="Arial" w:eastAsia="Arial" w:hAnsi="Arial"/>
                <w:color w:val="1A1A1A"/>
                <w:sz w:val="19"/>
                <w:szCs w:val="19"/>
              </w:rPr>
              <w:t xml:space="preserve"> Full Phase 2A completes on 4 May 2027, with the final hypercare and KT sign-off by 4 June 2027. That is roughly 31 weeks from kick-off, inside the SOW's 26–37 week sequential estimate, because we run five build streams in parallel.</w:t>
            </w:r>
          </w:p>
          <w:p>
            <w:pPr>
              <w:spacing w:after="50" w:line="260"/>
            </w:pPr>
            <w:r>
              <w:rPr>
                <w:rFonts w:ascii="Arial" w:cs="Arial" w:eastAsia="Arial" w:hAnsi="Arial"/>
                <w:b/>
                <w:bCs/>
                <w:color w:val="1A1A1A"/>
                <w:sz w:val="19"/>
                <w:szCs w:val="19"/>
              </w:rPr>
              <w:t xml:space="preserve">3.</w:t>
            </w:r>
            <w:r>
              <w:rPr>
                <w:rFonts w:ascii="Arial" w:cs="Arial" w:eastAsia="Arial" w:hAnsi="Arial"/>
                <w:color w:val="1A1A1A"/>
                <w:sz w:val="19"/>
                <w:szCs w:val="19"/>
              </w:rPr>
              <w:t xml:space="preserve"> The critical path runs through design-system approval (20 Nov 2026) and the web application build into the final release. A second, near-critical chain (Shared Identity → Partner/Service generalisation with Razorpay Route onboarding → Transaction Ledger) has only about two weeks of float. Written confirmation that Razorpay Route is enabled for the new partner categories (D10, needed by 6 Nov 2026) is the single most important external dependency.</w:t>
            </w:r>
          </w:p>
          <w:p>
            <w:pPr>
              <w:spacing w:after="50" w:line="260"/>
            </w:pPr>
            <w:r>
              <w:rPr>
                <w:rFonts w:ascii="Arial" w:cs="Arial" w:eastAsia="Arial" w:hAnsi="Arial"/>
                <w:b/>
                <w:bCs/>
                <w:color w:val="1A1A1A"/>
                <w:sz w:val="19"/>
                <w:szCs w:val="19"/>
              </w:rPr>
              <w:t xml:space="preserve">4.</w:t>
            </w:r>
            <w:r>
              <w:rPr>
                <w:rFonts w:ascii="Arial" w:cs="Arial" w:eastAsia="Arial" w:hAnsi="Arial"/>
                <w:color w:val="1A1A1A"/>
                <w:sz w:val="19"/>
                <w:szCs w:val="19"/>
              </w:rPr>
              <w:t xml:space="preserve"> Phase 2A design and discovery start on 5 October, alongside the launch. Building for 2A therefore begins on 16 November without waiting for launch hypercare to end.</w:t>
            </w:r>
          </w:p>
        </w:tc>
      </w:tr>
    </w:tbl>
    <w:p>
      <w:pPr>
        <w:spacing w:after="160"/>
      </w:pPr>
    </w:p>
    <w:p>
      <w:pPr>
        <w:pStyle w:val="Heading1"/>
        <w:pageBreakBefore/>
      </w:pPr>
      <w:r>
        <w:t xml:space="preserve">3. Feasibility of the 20 October 2026 target</w:t>
      </w:r>
    </w:p>
    <w:p>
      <w:pPr>
        <w:spacing w:after="120" w:line="276"/>
      </w:pPr>
      <w:r>
        <w:rPr>
          <w:rFonts w:ascii="Arial" w:cs="Arial" w:eastAsia="Arial" w:hAnsi="Arial"/>
          <w:color w:val="1A1A1A"/>
        </w:rPr>
        <w:t xml:space="preserve">As at the date of this plan (Sunday 27 September 2026) there are 16 working days before 20 October 2026. The SOW itself gives indicative durations for the Phase 2A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4565"/>
        <w:gridCol w:w="2030"/>
      </w:tblGrid>
      <w:tr>
        <w:trPr>
          <w:cantSplit/>
          <w:tblHeader/>
        </w:trPr>
        <w:tc>
          <w:tcPr>
            <w:tcW w:type="dxa" w:w="304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SOW milestone</w:t>
            </w:r>
          </w:p>
        </w:tc>
        <w:tc>
          <w:tcPr>
            <w:tcW w:type="dxa" w:w="456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Scope (SOW 12.1)</w:t>
            </w:r>
          </w:p>
        </w:tc>
        <w:tc>
          <w:tcPr>
            <w:tcW w:type="dxa" w:w="203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SOW indicative duration</w:t>
            </w:r>
          </w:p>
        </w:tc>
      </w:tr>
      <w:tr>
        <w:trPr>
          <w:cantSplit/>
        </w:trPr>
        <w:tc>
          <w:tcPr>
            <w:tcW w:type="dxa" w:w="304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M1 — Foundation Setup</w:t>
            </w:r>
          </w:p>
        </w:tc>
        <w:tc>
          <w:tcPr>
            <w:tcW w:type="dxa" w:w="456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Environment/CI-CD within SportSeek infra, security baseline</w:t>
            </w:r>
          </w:p>
        </w:tc>
        <w:tc>
          <w:tcPr>
            <w:tcW w:type="dxa" w:w="20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2–3 weeks</w:t>
            </w:r>
          </w:p>
        </w:tc>
      </w:tr>
      <w:tr>
        <w:trPr>
          <w:cantSplit/>
        </w:trPr>
        <w:tc>
          <w:tcPr>
            <w:tcW w:type="dxa" w:w="304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M2 — Shared Identity</w:t>
            </w:r>
          </w:p>
        </w:tc>
        <w:tc>
          <w:tcPr>
            <w:tcW w:type="dxa" w:w="456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Unified identity, account linking, role management</w:t>
            </w:r>
          </w:p>
        </w:tc>
        <w:tc>
          <w:tcPr>
            <w:tcW w:type="dxa" w:w="203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6–8 weeks</w:t>
            </w:r>
          </w:p>
        </w:tc>
      </w:tr>
      <w:tr>
        <w:trPr>
          <w:cantSplit/>
        </w:trPr>
        <w:tc>
          <w:tcPr>
            <w:tcW w:type="dxa" w:w="304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M3 — Transaction Ledger</w:t>
            </w:r>
          </w:p>
        </w:tc>
        <w:tc>
          <w:tcPr>
            <w:tcW w:type="dxa" w:w="456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Ledger views on top of existing gateway</w:t>
            </w:r>
          </w:p>
        </w:tc>
        <w:tc>
          <w:tcPr>
            <w:tcW w:type="dxa" w:w="20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4–6 weeks</w:t>
            </w:r>
          </w:p>
        </w:tc>
      </w:tr>
      <w:tr>
        <w:trPr>
          <w:cantSplit/>
        </w:trPr>
        <w:tc>
          <w:tcPr>
            <w:tcW w:type="dxa" w:w="304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M4 — Booking/Events Hardening</w:t>
            </w:r>
          </w:p>
        </w:tc>
        <w:tc>
          <w:tcPr>
            <w:tcW w:type="dxa" w:w="456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Cancellation, waitlists, edit-notifications</w:t>
            </w:r>
          </w:p>
        </w:tc>
        <w:tc>
          <w:tcPr>
            <w:tcW w:type="dxa" w:w="203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4–6 weeks</w:t>
            </w:r>
          </w:p>
        </w:tc>
      </w:tr>
      <w:tr>
        <w:trPr>
          <w:cantSplit/>
        </w:trPr>
        <w:tc>
          <w:tcPr>
            <w:tcW w:type="dxa" w:w="304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M5 — Generalised Partner/Service</w:t>
            </w:r>
          </w:p>
        </w:tc>
        <w:tc>
          <w:tcPr>
            <w:tcW w:type="dxa" w:w="456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Facility model generalised; coach/physio/nutritionist types</w:t>
            </w:r>
          </w:p>
        </w:tc>
        <w:tc>
          <w:tcPr>
            <w:tcW w:type="dxa" w:w="20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6–8 weeks</w:t>
            </w:r>
          </w:p>
        </w:tc>
      </w:tr>
      <w:tr>
        <w:trPr>
          <w:cantSplit/>
        </w:trPr>
        <w:tc>
          <w:tcPr>
            <w:tcW w:type="dxa" w:w="304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M6 — Notification Expansion</w:t>
            </w:r>
          </w:p>
        </w:tc>
        <w:tc>
          <w:tcPr>
            <w:tcW w:type="dxa" w:w="456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Push, WhatsApp, Email; alert catalog</w:t>
            </w:r>
          </w:p>
        </w:tc>
        <w:tc>
          <w:tcPr>
            <w:tcW w:type="dxa" w:w="203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4–6 weeks</w:t>
            </w:r>
          </w:p>
        </w:tc>
      </w:tr>
      <w:tr>
        <w:trPr>
          <w:cantSplit/>
        </w:trPr>
        <w:tc>
          <w:tcPr>
            <w:tcW w:type="dxa" w:w="304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Total if sequential</w:t>
            </w:r>
          </w:p>
        </w:tc>
        <w:tc>
          <w:tcPr>
            <w:tcW w:type="dxa" w:w="456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Excludes KT (2 weeks–1 month per milestone, SOW 12.2), UAT, and design</w:t>
            </w:r>
          </w:p>
        </w:tc>
        <w:tc>
          <w:tcPr>
            <w:tcW w:type="dxa" w:w="203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8"/>
                <w:szCs w:val="18"/>
              </w:rPr>
              <w:t xml:space="preserve">26–37 weeks</w:t>
            </w:r>
          </w:p>
        </w:tc>
      </w:tr>
      <w:tr>
        <w:trPr>
          <w:cantSplit/>
        </w:trPr>
        <w:tc>
          <w:tcPr>
            <w:tcW w:type="dxa" w:w="304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Web application (SOW 3.1)</w:t>
            </w:r>
          </w:p>
        </w:tc>
        <w:tc>
          <w:tcPr>
            <w:tcW w:type="dxa" w:w="456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Port of all Phase 1 mobile functionality to a full web application</w:t>
            </w:r>
          </w:p>
        </w:tc>
        <w:tc>
          <w:tcPr>
            <w:tcW w:type="dxa" w:w="203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Not estimated in SOW</w:t>
            </w:r>
          </w:p>
        </w:tc>
      </w:tr>
    </w:tbl>
    <w:p>
      <w:pPr>
        <w:spacing w:after="140"/>
      </w:pPr>
    </w:p>
    <w:p>
      <w:pPr>
        <w:spacing w:after="120" w:line="276"/>
      </w:pPr>
      <w:r>
        <w:rPr>
          <w:rFonts w:ascii="Arial" w:cs="Arial" w:eastAsia="Arial" w:hAnsi="Arial"/>
          <w:color w:val="1A1A1A"/>
        </w:rPr>
        <w:t xml:space="preserve">The SOW also requires, before go-live, UI/UX approved before development (SOW 14.2), a penetration test (SOW 6.2), load testing (SOW 6.2), UAT by SportSeek testers (SOW 5), and HLD/LLD per module (SOW 13). </w:t>
      </w:r>
      <w:r>
        <w:rPr>
          <w:rFonts w:ascii="Arial" w:cs="Arial" w:eastAsia="Arial" w:hAnsi="Arial"/>
          <w:b/>
          <w:bCs/>
          <w:color w:val="1A1A1A"/>
        </w:rPr>
        <w:t xml:space="preserve">No reading of these requirements allows the new Phase 2A modules to be built, tested and accepted in 16 working days.</w:t>
      </w:r>
      <w:r>
        <w:rPr>
          <w:rFonts w:ascii="Arial" w:cs="Arial" w:eastAsia="Arial" w:hAnsi="Arial"/>
          <w:color w:val="1A1A1A"/>
        </w:rPr>
        <w:t xml:space="preserve"> Promising otherwise would put SportSeek's public reputation and live payment flows at risk.</w:t>
      </w:r>
    </w:p>
    <w:p>
      <w:pPr>
        <w:pStyle w:val="Heading2"/>
        <w:keepNext/>
      </w:pPr>
      <w:r>
        <w:t xml:space="preserve">3.1 What the public launch on 20 October 2026 includes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blHeader/>
        </w:trPr>
        <w:tc>
          <w:tcPr>
            <w:tcW w:type="dxa" w:w="48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In Release 2A.0 (20 Oct 2026)</w:t>
            </w:r>
          </w:p>
        </w:tc>
        <w:tc>
          <w:tcPr>
            <w:tcW w:type="dxa" w:w="48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Delivered later (release)</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All live Phase 1 journeys (SOW 2.1): registration, venue search by name/sport/radius, availability and slots, create/publish/edit events, tournaments, multi-tournament registration with payment, partner facility onboarding and verification, admin oversight</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Shared identity and account linking (2A.1)</w:t>
            </w:r>
          </w:p>
        </w:tc>
      </w:tr>
      <w:tr>
        <w:trPr>
          <w:cantSplit/>
        </w:trPr>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Critical and high-severity Phase 1 defects in launch scope closed</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Push and Email channels, template management (2A.1)</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Security baseline: SAST, dependency and DAST scans; VAPT of the launch surface with no open critical/high findings</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Coach/physio/nutritionist partner types (2A.2)</w:t>
            </w:r>
          </w:p>
        </w:tc>
      </w:tr>
      <w:tr>
        <w:trPr>
          <w:cantSplit/>
        </w:trPr>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Load test at SportSeek-defined launch concurrency</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Cancellation and refund flows, waitlist (2A.2)</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Production monitoring, alerting, error tracking; launch runbook and rollback plan</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WhatsApp and the full alert catalog (2A.2)</w:t>
            </w:r>
          </w:p>
        </w:tc>
      </w:tr>
      <w:tr>
        <w:trPr>
          <w:cantSplit/>
        </w:trPr>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Store and privacy readiness: store listings, privacy policy, DPDP notice/consent, in-app account deletion check</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Transaction Ledger (2A.3)</w:t>
            </w:r>
          </w:p>
        </w:tc>
      </w:tr>
      <w:tr>
        <w:trPr>
          <w:cantSplit/>
        </w:trPr>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Only quick wins approved at the 1 Oct Scope Gate that fit the 14 Oct code freeze</w:t>
            </w:r>
          </w:p>
        </w:tc>
        <w:tc>
          <w:tcPr>
            <w:tcW w:type="dxa" w:w="48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Full web application (2A.3)</w:t>
            </w:r>
          </w:p>
        </w:tc>
      </w:tr>
      <w:tr>
        <w:trPr>
          <w:cantSplit/>
        </w:trPr>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Hypercare 20 Oct – 13 Nov 2026 and ongoing Phase 1 support (SOW 16)</w:t>
            </w:r>
          </w:p>
        </w:tc>
        <w:tc>
          <w:tcPr>
            <w:tcW w:type="dxa" w:w="48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Offline data import tools (2A.3)</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B4412A" w:sz="24"/>
              <w:bottom w:val="none" w:color="FFFFFF" w:sz="0"/>
              <w:right w:val="none" w:color="FFFFFF" w:sz="0"/>
            </w:tcBorders>
            <w:shd w:fill="FBECE8" w:color="auto" w:val="clear"/>
            <w:tcMar>
              <w:top w:type="dxa" w:w="110"/>
              <w:left w:type="dxa" w:w="180"/>
              <w:bottom w:type="dxa" w:w="110"/>
              <w:right w:type="dxa" w:w="160"/>
            </w:tcMar>
          </w:tcPr>
          <w:p>
            <w:pPr>
              <w:spacing w:after="60"/>
            </w:pPr>
            <w:r>
              <w:rPr>
                <w:rFonts w:ascii="Arial" w:cs="Arial" w:eastAsia="Arial" w:hAnsi="Arial"/>
                <w:b/>
                <w:bCs/>
                <w:color w:val="B4412A"/>
                <w:sz w:val="20"/>
                <w:szCs w:val="20"/>
              </w:rPr>
              <w:t xml:space="preserve">Launch-date conditions (non-negotiable for a safe launch)</w:t>
            </w:r>
          </w:p>
          <w:p>
            <w:pPr>
              <w:spacing w:after="50" w:line="260"/>
            </w:pPr>
            <w:r>
              <w:rPr>
                <w:rFonts w:ascii="Arial" w:cs="Arial" w:eastAsia="Arial" w:hAnsi="Arial"/>
                <w:color w:val="1A1A1A"/>
                <w:sz w:val="19"/>
                <w:szCs w:val="19"/>
              </w:rPr>
              <w:t xml:space="preserve">The 20 Oct date holds only if: </w:t>
            </w:r>
            <w:r>
              <w:rPr>
                <w:rFonts w:ascii="Arial" w:cs="Arial" w:eastAsia="Arial" w:hAnsi="Arial"/>
                <w:b/>
                <w:bCs/>
                <w:color w:val="1A1A1A"/>
                <w:sz w:val="19"/>
                <w:szCs w:val="19"/>
              </w:rPr>
              <w:t xml:space="preserve">(a)</w:t>
            </w:r>
            <w:r>
              <w:rPr>
                <w:rFonts w:ascii="Arial" w:cs="Arial" w:eastAsia="Arial" w:hAnsi="Arial"/>
                <w:color w:val="1A1A1A"/>
                <w:sz w:val="19"/>
                <w:szCs w:val="19"/>
              </w:rPr>
              <w:t xml:space="preserve"> the NDA/SOW is executed and access to code, infrastructure, store consoles and the gateway dashboard is granted by </w:t>
            </w:r>
            <w:r>
              <w:rPr>
                <w:rFonts w:ascii="Arial" w:cs="Arial" w:eastAsia="Arial" w:hAnsi="Arial"/>
                <w:b/>
                <w:bCs/>
                <w:color w:val="1A1A1A"/>
                <w:sz w:val="19"/>
                <w:szCs w:val="19"/>
              </w:rPr>
              <w:t xml:space="preserve">29 Sep</w:t>
            </w:r>
            <w:r>
              <w:rPr>
                <w:rFonts w:ascii="Arial" w:cs="Arial" w:eastAsia="Arial" w:hAnsi="Arial"/>
                <w:color w:val="1A1A1A"/>
                <w:sz w:val="19"/>
                <w:szCs w:val="19"/>
              </w:rPr>
              <w:t xml:space="preserve">; </w:t>
            </w:r>
            <w:r>
              <w:rPr>
                <w:rFonts w:ascii="Arial" w:cs="Arial" w:eastAsia="Arial" w:hAnsi="Arial"/>
                <w:b/>
                <w:bCs/>
                <w:color w:val="1A1A1A"/>
                <w:sz w:val="19"/>
                <w:szCs w:val="19"/>
              </w:rPr>
              <w:t xml:space="preserve">(b)</w:t>
            </w:r>
            <w:r>
              <w:rPr>
                <w:rFonts w:ascii="Arial" w:cs="Arial" w:eastAsia="Arial" w:hAnsi="Arial"/>
                <w:color w:val="1A1A1A"/>
                <w:sz w:val="19"/>
                <w:szCs w:val="19"/>
              </w:rPr>
              <w:t xml:space="preserve"> the launch scope is frozen at the Scope Gate on </w:t>
            </w:r>
            <w:r>
              <w:rPr>
                <w:rFonts w:ascii="Arial" w:cs="Arial" w:eastAsia="Arial" w:hAnsi="Arial"/>
                <w:b/>
                <w:bCs/>
                <w:color w:val="1A1A1A"/>
                <w:sz w:val="19"/>
                <w:szCs w:val="19"/>
              </w:rPr>
              <w:t xml:space="preserve">1 Oct</w:t>
            </w:r>
            <w:r>
              <w:rPr>
                <w:rFonts w:ascii="Arial" w:cs="Arial" w:eastAsia="Arial" w:hAnsi="Arial"/>
                <w:color w:val="1A1A1A"/>
                <w:sz w:val="19"/>
                <w:szCs w:val="19"/>
              </w:rPr>
              <w:t xml:space="preserve">; </w:t>
            </w:r>
            <w:r>
              <w:rPr>
                <w:rFonts w:ascii="Arial" w:cs="Arial" w:eastAsia="Arial" w:hAnsi="Arial"/>
                <w:b/>
                <w:bCs/>
                <w:color w:val="1A1A1A"/>
                <w:sz w:val="19"/>
                <w:szCs w:val="19"/>
              </w:rPr>
              <w:t xml:space="preserve">(c)</w:t>
            </w:r>
            <w:r>
              <w:rPr>
                <w:rFonts w:ascii="Arial" w:cs="Arial" w:eastAsia="Arial" w:hAnsi="Arial"/>
                <w:color w:val="1A1A1A"/>
                <w:sz w:val="19"/>
                <w:szCs w:val="19"/>
              </w:rPr>
              <w:t xml:space="preserve"> legal content (privacy policy, terms, DPDP notice) is supplied by </w:t>
            </w:r>
            <w:r>
              <w:rPr>
                <w:rFonts w:ascii="Arial" w:cs="Arial" w:eastAsia="Arial" w:hAnsi="Arial"/>
                <w:b/>
                <w:bCs/>
                <w:color w:val="1A1A1A"/>
                <w:sz w:val="19"/>
                <w:szCs w:val="19"/>
              </w:rPr>
              <w:t xml:space="preserve">9 Oct</w:t>
            </w:r>
            <w:r>
              <w:rPr>
                <w:rFonts w:ascii="Arial" w:cs="Arial" w:eastAsia="Arial" w:hAnsi="Arial"/>
                <w:color w:val="1A1A1A"/>
                <w:sz w:val="19"/>
                <w:szCs w:val="19"/>
              </w:rPr>
              <w:t xml:space="preserve">; </w:t>
            </w:r>
            <w:r>
              <w:rPr>
                <w:rFonts w:ascii="Arial" w:cs="Arial" w:eastAsia="Arial" w:hAnsi="Arial"/>
                <w:b/>
                <w:bCs/>
                <w:color w:val="1A1A1A"/>
                <w:sz w:val="19"/>
                <w:szCs w:val="19"/>
              </w:rPr>
              <w:t xml:space="preserve">(d)</w:t>
            </w:r>
            <w:r>
              <w:rPr>
                <w:rFonts w:ascii="Arial" w:cs="Arial" w:eastAsia="Arial" w:hAnsi="Arial"/>
                <w:color w:val="1A1A1A"/>
                <w:sz w:val="19"/>
                <w:szCs w:val="19"/>
              </w:rPr>
              <w:t xml:space="preserve"> SportSeek UAT testers are available </w:t>
            </w:r>
            <w:r>
              <w:rPr>
                <w:rFonts w:ascii="Arial" w:cs="Arial" w:eastAsia="Arial" w:hAnsi="Arial"/>
                <w:b/>
                <w:bCs/>
                <w:color w:val="1A1A1A"/>
                <w:sz w:val="19"/>
                <w:szCs w:val="19"/>
              </w:rPr>
              <w:t xml:space="preserve">15–19 Oct</w:t>
            </w:r>
            <w:r>
              <w:rPr>
                <w:rFonts w:ascii="Arial" w:cs="Arial" w:eastAsia="Arial" w:hAnsi="Arial"/>
                <w:color w:val="1A1A1A"/>
                <w:sz w:val="19"/>
                <w:szCs w:val="19"/>
              </w:rPr>
              <w:t xml:space="preserve">.</w:t>
            </w:r>
          </w:p>
          <w:p>
            <w:pPr>
              <w:spacing w:after="50" w:line="260"/>
            </w:pPr>
            <w:r>
              <w:rPr>
                <w:rFonts w:ascii="Arial" w:cs="Arial" w:eastAsia="Arial" w:hAnsi="Arial"/>
                <w:color w:val="1A1A1A"/>
                <w:sz w:val="19"/>
                <w:szCs w:val="19"/>
              </w:rPr>
              <w:t xml:space="preserve">If the Phase 1 assessment (2.1) finds a defect or vulnerability that cannot be closed by the 14 Oct freeze, Srivin will raise it the same day with options (fix and slip, mitigate, or de-scope the affected journey). The Go/No-Go decision on 19 Oct remains SportSeek's.</w:t>
            </w:r>
          </w:p>
        </w:tc>
      </w:tr>
    </w:tbl>
    <w:p>
      <w:pPr>
        <w:spacing w:after="160"/>
      </w:pPr>
    </w:p>
    <w:p>
      <w:pPr>
        <w:pStyle w:val="Heading1"/>
        <w:pageBreakBefore/>
      </w:pPr>
      <w:r>
        <w:t xml:space="preserve">4. Release strategy for Phase 2A</w:t>
      </w:r>
    </w:p>
    <w:p>
      <w:pPr>
        <w:spacing w:after="120" w:line="276"/>
      </w:pPr>
      <w:r>
        <w:rPr>
          <w:rFonts w:ascii="Arial" w:cs="Arial" w:eastAsia="Arial" w:hAnsi="Arial"/>
          <w:color w:val="1A1A1A"/>
        </w:rPr>
        <w:t xml:space="preserve">The SOW asks for Phase 2A to "start with hardening and unifying what already exists in production" and to be delivered "as milestones within each phase", not "all-at-once" (SOW 1, 3). We group the six SOW milestones into four releases. The grouping follows the technical dependency order: identity first, because every other module depends on it (SOW 6.1).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26"/>
        <w:gridCol w:w="1591"/>
        <w:gridCol w:w="3890"/>
        <w:gridCol w:w="1591"/>
        <w:gridCol w:w="1240"/>
      </w:tblGrid>
      <w:tr>
        <w:trPr>
          <w:cantSplit/>
          <w:tblHeader/>
        </w:trPr>
        <w:tc>
          <w:tcPr>
            <w:tcW w:type="dxa" w:w="132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Release</w:t>
            </w:r>
          </w:p>
        </w:tc>
        <w:tc>
          <w:tcPr>
            <w:tcW w:type="dxa" w:w="15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SOW milestones</w:t>
            </w:r>
          </w:p>
        </w:tc>
        <w:tc>
          <w:tcPr>
            <w:tcW w:type="dxa" w:w="389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Rationale for grouping</w:t>
            </w:r>
          </w:p>
        </w:tc>
        <w:tc>
          <w:tcPr>
            <w:tcW w:type="dxa" w:w="159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Build window</w:t>
            </w:r>
          </w:p>
        </w:tc>
        <w:tc>
          <w:tcPr>
            <w:tcW w:type="dxa" w:w="124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Go-live</w:t>
            </w:r>
          </w:p>
        </w:tc>
      </w:tr>
      <w:tr>
        <w:trPr>
          <w:cantSplit/>
        </w:trPr>
        <w:tc>
          <w:tcPr>
            <w:tcW w:type="dxa" w:w="132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2A.0</w:t>
            </w:r>
          </w:p>
        </w:tc>
        <w:tc>
          <w:tcPr>
            <w:tcW w:type="dxa" w:w="15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M1 (launch subset), Phase 1 support</w:t>
            </w:r>
          </w:p>
        </w:tc>
        <w:tc>
          <w:tcPr>
            <w:tcW w:type="dxa" w:w="38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Make the live product safe for public traffic; no new domain changes during launch</w:t>
            </w:r>
          </w:p>
        </w:tc>
        <w:tc>
          <w:tcPr>
            <w:tcW w:type="dxa" w:w="15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28 Sep – 14 Oct 2026</w:t>
            </w:r>
          </w:p>
        </w:tc>
        <w:tc>
          <w:tcPr>
            <w:tcW w:type="dxa" w:w="1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20 Oct 2026</w:t>
            </w:r>
          </w:p>
        </w:tc>
      </w:tr>
      <w:tr>
        <w:trPr>
          <w:cantSplit/>
        </w:trPr>
        <w:tc>
          <w:tcPr>
            <w:tcW w:type="dxa" w:w="132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2A.1</w:t>
            </w:r>
          </w:p>
        </w:tc>
        <w:tc>
          <w:tcPr>
            <w:tcW w:type="dxa" w:w="15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M1 (rest), M2, M6 core</w:t>
            </w:r>
          </w:p>
        </w:tc>
        <w:tc>
          <w:tcPr>
            <w:tcW w:type="dxa" w:w="38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Identity is the foundation for roles, ledger, partner types and role-scoped notifications. Notification core is needed by M4 edit/waitlist alerts.</w:t>
            </w:r>
          </w:p>
        </w:tc>
        <w:tc>
          <w:tcPr>
            <w:tcW w:type="dxa" w:w="15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16 Nov 2026 – 8 Jan 2027</w:t>
            </w:r>
          </w:p>
        </w:tc>
        <w:tc>
          <w:tcPr>
            <w:tcW w:type="dxa" w:w="1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27 Jan 2027</w:t>
            </w:r>
          </w:p>
        </w:tc>
      </w:tr>
      <w:tr>
        <w:trPr>
          <w:cantSplit/>
        </w:trPr>
        <w:tc>
          <w:tcPr>
            <w:tcW w:type="dxa" w:w="132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2A.2</w:t>
            </w:r>
          </w:p>
        </w:tc>
        <w:tc>
          <w:tcPr>
            <w:tcW w:type="dxa" w:w="15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M5, M4, M6 complete</w:t>
            </w:r>
          </w:p>
        </w:tc>
        <w:tc>
          <w:tcPr>
            <w:tcW w:type="dxa" w:w="38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The partner model and booking data model must be designed together (SOW 9.3 "consistent data model"). Waitlist and edit triggers use the full catalog.</w:t>
            </w:r>
          </w:p>
        </w:tc>
        <w:tc>
          <w:tcPr>
            <w:tcW w:type="dxa" w:w="159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28 Dec 2026 – 5 Mar 2027</w:t>
            </w:r>
          </w:p>
        </w:tc>
        <w:tc>
          <w:tcPr>
            <w:tcW w:type="dxa" w:w="124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16 Mar 2027</w:t>
            </w:r>
          </w:p>
        </w:tc>
      </w:tr>
      <w:tr>
        <w:trPr>
          <w:cantSplit/>
        </w:trPr>
        <w:tc>
          <w:tcPr>
            <w:tcW w:type="dxa" w:w="132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2A.3</w:t>
            </w:r>
          </w:p>
        </w:tc>
        <w:tc>
          <w:tcPr>
            <w:tcW w:type="dxa" w:w="15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M3, Web app, import tools</w:t>
            </w:r>
          </w:p>
        </w:tc>
        <w:tc>
          <w:tcPr>
            <w:tcW w:type="dxa" w:w="38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The Ledger needs identity, Route-onboarded partners and refund flows first. The web app reaches parity once all 2A features exist.</w:t>
            </w:r>
          </w:p>
        </w:tc>
        <w:tc>
          <w:tcPr>
            <w:tcW w:type="dxa" w:w="159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30 Nov 2026 – 2 Apr 2027</w:t>
            </w:r>
          </w:p>
        </w:tc>
        <w:tc>
          <w:tcPr>
            <w:tcW w:type="dxa" w:w="124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4 May 2027</w:t>
            </w:r>
          </w:p>
        </w:tc>
      </w:tr>
    </w:tbl>
    <w:p>
      <w:pPr>
        <w:spacing w:after="140"/>
      </w:pPr>
    </w:p>
    <w:p>
      <w:r>
        <w:br w:type="page"/>
      </w:r>
    </w:p>
    <w:p>
      <w:pPr>
        <w:spacing w:after="60"/>
        <w:jc w:val="center"/>
      </w:pPr>
      <w:r>
        <w:drawing>
          <wp:inline distT="0" distB="0" distL="0" distR="0">
            <wp:extent cx="5810250" cy="7229475"/>
            <wp:effectExtent t="0" r="0" b="0" l="0"/>
            <wp:docPr id="1" name="fig" descr="Figure 1 — Phase 2A integrated roadmap (summary level; all activities are listed in Section 8)" title="Figure 1 — Phase 2A integrated roadmap (summary level; all activities are listed in Sectio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810250" cy="7229475"/>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1 — Phase 2A integrated roadmap (summary level; all activities are listed in Section 8)</w:t>
      </w:r>
    </w:p>
    <w:p>
      <w:pPr>
        <w:pStyle w:val="Heading1"/>
        <w:pageBreakBefore/>
      </w:pPr>
      <w:r>
        <w:t xml:space="preserve">5. Planning basis and assumptions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5"/>
        <w:gridCol w:w="6364"/>
        <w:gridCol w:w="2729"/>
      </w:tblGrid>
      <w:tr>
        <w:trPr>
          <w:cantSplit/>
          <w:tblHeader/>
        </w:trPr>
        <w:tc>
          <w:tcPr>
            <w:tcW w:type="dxa" w:w="54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t>
            </w:r>
          </w:p>
        </w:tc>
        <w:tc>
          <w:tcPr>
            <w:tcW w:type="dxa" w:w="636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Assumption</w:t>
            </w:r>
          </w:p>
        </w:tc>
        <w:tc>
          <w:tcPr>
            <w:tcW w:type="dxa" w:w="272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If it does not hold</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A1</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Kick-off on Tue 29 Sep 2026, with NDA and SOW/PO executed by then (SOW 19, Next Steps).</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 date is at risk day-for-day</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A2</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provides Phase 1 source code, DB schema and API documentation before kick-off (SOW 5).</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Assessment and launch hardening slip</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A3</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All cloud, repository, store and third-party accounts are SportSeek-owned; Srivin works within them (SOW 5, 15).</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Access requests on the critical path</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A4</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 named SportSeek Product Owner is available for decisions (SOW 5). During the launch window, a decision within 1 working day.</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Decisions escalate via governance (Delivery Model §6)</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A5</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supplies dedicated UAT testers within the UAT windows in this plan (SOW 5).</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Go-live dates move with UAT</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A6</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Plan uses a Mon–Fri calendar. The joint holiday calendar (national and festival holidays in the Oct–Jan period) is agreed at kick-off, and capacity rather than dates is adjusted first.</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Sprint capacity re-planned</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A7</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developers join the Srivin squads from Sprint 1 (SOW 5). Their capacity is additional to the Srivin core team in Section 13.</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Plan remains valid; KT effort increases</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A8</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The existing payment gateway is Razorpay and SMS provider contracts remain in place (SOW 5, 8.3). Route split settlement will be integrated (SOW 8.3 NOTE).</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Ledger design re-opened via change request</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A9</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Transaction Ledger scope is the Admin dashboard plus a partner settlement view in the web application, as in SOW 8.1–8.2. Any User/Partner mobile app ledger view (SOW 8.1 open item; SOW 12.1 M3 wording) is confirmed by D15.</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Adds about 1 sprint to M3 via change request</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A10</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2B and 2C scope (Community, Expert Booking UX, Analytics, Academy, Marketplace, Rewards) is excluded from this plan (SOW 3.2–3.3), except that domain events are designed in 2A so 2B analytics can consume them.</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A11</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The 2A.0 launch excludes new Phase 2A domain features. Anything added at the Scope Gate must fit within the 14 Oct code freeze.</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 risk rises; Go/No-Go may fail</w:t>
            </w:r>
          </w:p>
        </w:tc>
      </w:tr>
      <w:tr>
        <w:trPr>
          <w:cantSplit/>
        </w:trPr>
        <w:tc>
          <w:tcPr>
            <w:tcW w:type="dxa" w:w="5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A12</w:t>
            </w:r>
          </w:p>
        </w:tc>
        <w:tc>
          <w:tcPr>
            <w:tcW w:type="dxa" w:w="636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Two-week sprints from 16 Nov 2026. LLD and UI for each module are produced one sprint ahead of build.</w:t>
            </w:r>
          </w:p>
        </w:tc>
        <w:tc>
          <w:tcPr>
            <w:tcW w:type="dxa" w:w="272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t>
            </w:r>
          </w:p>
        </w:tc>
      </w:tr>
      <w:tr>
        <w:trPr>
          <w:cantSplit/>
        </w:trPr>
        <w:tc>
          <w:tcPr>
            <w:tcW w:type="dxa" w:w="5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A13</w:t>
            </w:r>
          </w:p>
        </w:tc>
        <w:tc>
          <w:tcPr>
            <w:tcW w:type="dxa" w:w="636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Technology stack as confirmed by SportSeek: React Native mobile apps, .NET back end, PostgreSQL database. Phase 2A extends this stack; the new web application uses React (TypeScript) to share skills and design tokens with the React Native apps (Section 13.1).</w:t>
            </w:r>
          </w:p>
        </w:tc>
        <w:tc>
          <w:tcPr>
            <w:tcW w:type="dxa" w:w="272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Skills mix in Section 13 re-planned</w:t>
            </w:r>
          </w:p>
        </w:tc>
      </w:tr>
    </w:tbl>
    <w:p>
      <w:pPr>
        <w:spacing w:after="140"/>
      </w:pPr>
    </w:p>
    <w:p>
      <w:pPr>
        <w:pStyle w:val="Heading1"/>
        <w:pageBreakBefore/>
      </w:pPr>
      <w:r>
        <w:t xml:space="preserve">6. Work Breakdown Structure (WBS) and WBS dictionary</w:t>
      </w:r>
    </w:p>
    <w:p>
      <w:pPr>
        <w:spacing w:after="120" w:line="276"/>
      </w:pPr>
      <w:r>
        <w:rPr>
          <w:rFonts w:ascii="Arial" w:cs="Arial" w:eastAsia="Arial" w:hAnsi="Arial"/>
          <w:color w:val="1A1A1A"/>
        </w:rPr>
        <w:t xml:space="preserve">The WBS is deliverable-oriented and follows the 100% rule: every Phase 2A scope item in SOW Section 3.1, and every deliverable in SOW Section 13, maps to exactly one work package (see Appendix A). Level 1 elements are shown below; Level 2 work packages, their deliverables and completion criteria follow in the dictionary.</w:t>
      </w:r>
    </w:p>
    <w:p>
      <w:pPr>
        <w:pStyle w:val="Heading2"/>
        <w:keepNext/>
      </w:pPr>
      <w:r>
        <w:t xml:space="preserve">6.1 WBS hierarchy (Levels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5"/>
        <w:gridCol w:w="3154"/>
        <w:gridCol w:w="5959"/>
      </w:tblGrid>
      <w:tr>
        <w:trPr>
          <w:cantSplit/>
          <w:tblHeader/>
        </w:trPr>
        <w:tc>
          <w:tcPr>
            <w:tcW w:type="dxa" w:w="52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L1</w:t>
            </w:r>
          </w:p>
        </w:tc>
        <w:tc>
          <w:tcPr>
            <w:tcW w:type="dxa" w:w="315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Element</w:t>
            </w:r>
          </w:p>
        </w:tc>
        <w:tc>
          <w:tcPr>
            <w:tcW w:type="dxa" w:w="595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Level-2 work packages</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Programme Management &amp; Governance</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1.1 Mobilisation · 1.2 Kick-off · 1.3 Integrated plan &amp; RAID · 1.4 Governance cadence · 1.5 Change control · 1.6 Re-baseline · 1.7 Closure</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2A.0 — Public Launch</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2.1 Assessment · 2.2 Scope Gate · 2.3 Env/CI-CD/observability · 2.4 Defect remediation · 2.5 Security baseline &amp; VAPT · 2.6 Load test · 2.7 Store &amp; DPDP readiness · 2.8 Quick wins · 2.9 Code freeze · 2.10 Store submission · 2.11 Regression &amp; UAT · 2.12 Runbook · 2.13 Go/No-Go · 2.14 Launch · 2.15 Hypercare · 2.16 KT-0</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Discovery, Architecture &amp; Design</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Phase 1 deep-dive · 3.2 Requirements &amp; stories · 3.3 Open-item closure · 3.4 HLD · 3.5 HLD sign-off · 3.6 Design system · 3.7 Design approval · 3.8 Module UI · 3.9 Web UX · 3.10 LLD · 3.11 Test strategy</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4</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Platform Foundation (M1)</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4.1 IaC &amp; environments · 4.2 CI/CD quality gates · 4.3 Event bus · 4.4 API Gateway/BFF · 4.5 Observability · 4.6 M1 acceptance</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5</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M2 Shared Identity</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5.1 Identity core (OIDC) · 5.2 Registration/OTP/login · 5.3 Account linking · 5.4 Roles · 5.5 KYC reuse · 5.6 Profile &amp; credentials · 5.7 Account reconciliation &amp; migration · 5.8 Backward compatibility · 5.9 Build complete</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6</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M6 Notification Platform</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6.1 Notification core · 6.2 Push · 6.3 Email · 6.4 Preferences &amp; deep links · 6.5 Core complete · 6.6 WhatsApp · 6.7 Alert catalog triggers</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7</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M5 Partner &amp; Service Model</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7.1 Service-type registry · 7.2 Facility migration · 7.3 Admin type config · 7.4 Partner onboarding (new types) · 7.5 Verification workflow · 7.6 KYC &amp; Route onboarding · 7.7 User App visibility · 7.8 Build complete</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8</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M4 Booking/Events Hardening</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8.1 Unified data model · 8.2 Booking cancel/refund · 8.3 Tournament cancel/refund · 8.4 Waitlist · 8.5 Edit notifications · 8.6 Import tools · 8.7 Build complete</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2A.1</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9.1 SIT · 9.2 UAT · 9.3 Go/No-Go · 9.4 Go-live · 9.5 KT-1 · 9.6 Warranty</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10</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2A.2</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10.1 SIT/perf/VAPT · 10.2 UAT · 10.3 Go/No-Go · 10.4 Go-live · 10.5 KT-2 · 10.6 Warranty</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11</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M3 Transaction Ledger</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11.1 Gateway ingestion &amp; reconciliation · 11.2 Read model &amp; APIs · 11.3 Admin ledger screens · 11.4 Statement export · 11.5 Refund tracker · 11.6 Partner settlement view · 11.7 Build complete</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Application</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12.1 Shell &amp; auth · 12.2 User journeys · 12.3 Organiser journeys · 12.4 Partner journeys · 12.5 2A parity · 12.6 Browser/a11y/SEO testing · 12.7 Build complete</w:t>
            </w:r>
          </w:p>
        </w:tc>
      </w:tr>
      <w:tr>
        <w:trPr>
          <w:cantSplit/>
        </w:trPr>
        <w:tc>
          <w:tcPr>
            <w:tcW w:type="dxa" w:w="5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2A.3 &amp; Phase Closure</w:t>
            </w:r>
          </w:p>
        </w:tc>
        <w:tc>
          <w:tcPr>
            <w:tcW w:type="dxa" w:w="595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13.1 SIT/perf/pen test · 13.2 UAT · 13.3 Go/No-Go · 13.4 Go-live · 13.5 Hypercare · 13.6 KT-3 · 13.7 Ops runbook &amp; transition plan · 13.8 Warranty · 13.9 Phase acceptance</w:t>
            </w:r>
          </w:p>
        </w:tc>
      </w:tr>
      <w:tr>
        <w:trPr>
          <w:cantSplit/>
        </w:trPr>
        <w:tc>
          <w:tcPr>
            <w:tcW w:type="dxa" w:w="5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14</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Continuous Support</w:t>
            </w:r>
          </w:p>
        </w:tc>
        <w:tc>
          <w:tcPr>
            <w:tcW w:type="dxa" w:w="595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14.1 Phase 1 production monitoring &amp; bug fixes · 14.2 Launch warranty</w:t>
            </w:r>
          </w:p>
        </w:tc>
      </w:tr>
    </w:tbl>
    <w:p>
      <w:pPr>
        <w:spacing w:after="140"/>
      </w:pPr>
    </w:p>
    <w:p>
      <w:pPr>
        <w:pStyle w:val="Heading2"/>
        <w:keepNext/>
      </w:pPr>
      <w:r>
        <w:t xml:space="preserve">6.2 WBS dictionary — key work packages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3"/>
        <w:gridCol w:w="1927"/>
        <w:gridCol w:w="3154"/>
        <w:gridCol w:w="3154"/>
        <w:gridCol w:w="790"/>
      </w:tblGrid>
      <w:tr>
        <w:trPr>
          <w:cantSplit/>
          <w:tblHeader/>
        </w:trPr>
        <w:tc>
          <w:tcPr>
            <w:tcW w:type="dxa" w:w="61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WBS</w:t>
            </w:r>
          </w:p>
        </w:tc>
        <w:tc>
          <w:tcPr>
            <w:tcW w:type="dxa" w:w="192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Work package</w:t>
            </w:r>
          </w:p>
        </w:tc>
        <w:tc>
          <w:tcPr>
            <w:tcW w:type="dxa" w:w="315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Key deliverables</w:t>
            </w:r>
          </w:p>
        </w:tc>
        <w:tc>
          <w:tcPr>
            <w:tcW w:type="dxa" w:w="315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Completion / acceptance criteria</w:t>
            </w:r>
          </w:p>
        </w:tc>
        <w:tc>
          <w:tcPr>
            <w:tcW w:type="dxa" w:w="79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SOW ref.</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1 assessment</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Assessment report: architecture, code quality, security findings, defect backlog triage, infra/backup posture, launch risks</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Report reviewed at the Scope Gate; every launch risk has an owner and a decision</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5, 16</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Security baseline</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Scan reports (SAST, dependency, DAST); VAPT report for launch surface; remediation log</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No open critical/high findings at Go/No-Go</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6.2, 14.1</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Load test</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Load-test scripts and report against the D5 concurrency figure; capacity recommendations</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Agreed launch concurrency sustained within agreed error and latency thresholds</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6.2</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2.12</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Launch runbook</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Runbook, rollback plan, on-call rota, war-room protocol, communication templates</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Walkthrough completed with SportSeek; rollback rehearsed on Staging</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High-Level Design</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Target architecture, ADRs, integration design (Razorpay incl. Route, SMS, Push, WhatsApp, Email), security and data-privacy design, NFR targets</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HLD signed off by SportSeek (3.5)</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6, 13</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3.6</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Design system</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Atomic component library (atoms → templates), colour and typography system, UX principles</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Approved by SportSeek before development (3.7)</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13, 14.2</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3.10</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LLD per module</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API contracts (OpenAPI), DB changes and ER diagrams, sequence diagrams, test cases linked to stories</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Reviewed by Srivin architect and SportSeek tech reviewer before sprint start</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9, 13</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5.3</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Account linking</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Linking flow for phone/email match; ownership proof by OTP; role addition; user messaging per SOW 7.3</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App registration with an existing User App phone/email links to the same identity, with no duplicate created</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7.3, 9.1</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5.7</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Account reconciliation</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Duplicate-identity detection report on existing Phase 1 data; merge rules; migration scripts; rollback</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 approves merge rules (D18); migration dry-run reconciles 100% of records</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7.3, 17</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Notification core</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Notification service, template store with versioning, routing rules, delivery tracking, retry/fallback</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All live SMS triggers (SOW 10.1) run through the new service unchanged</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7.1–7.3</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Service-type model</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Shared + type-specific service schema; admin configuration; facility migration</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 new service type can be enabled from the admin dashboard with no code change; existing facility partners unaffected</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7.6</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Route onboarding</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KYC/payout fields passed to Razorpay; linked-account creation</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Test partners of every type onboard and receive split settlement in the Razorpay test environment</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8.3</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8.2–8.4</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Booking hardening</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Cancellation and refund via gateway refund API; policy rules; waitlist with timed offers</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All Phase 1 flows unchanged (regression green); new flows pass SOW 9.3 acceptance</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9.3</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11.1–11.7</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Transaction Ledger</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Ingestion and reconciliation, ledger APIs, admin screens, exports, refund tracker, partner settlement view</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Every gateway transaction appears within the agreed sync window; exports match gateway records exactly</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12.x</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application</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Responsive web app for User, Organiser and Partner journeys</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Feature-parity checklist vs mobile signed off; cross-browser and accessibility checks pass</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w:t>
            </w:r>
          </w:p>
        </w:tc>
      </w:tr>
      <w:tr>
        <w:trPr>
          <w:cantSplit/>
        </w:trPr>
        <w:tc>
          <w:tcPr>
            <w:tcW w:type="dxa" w:w="6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13.7</w:t>
            </w:r>
          </w:p>
        </w:tc>
        <w:tc>
          <w:tcPr>
            <w:tcW w:type="dxa" w:w="192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Ops runbook &amp; transition</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Infrastructure operations runbook; transition plan for SportSeek in-house team</w:t>
            </w:r>
          </w:p>
        </w:tc>
        <w:tc>
          <w:tcPr>
            <w:tcW w:type="dxa" w:w="315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 ops team completes runbook walkthrough; transition timeline agreed</w:t>
            </w:r>
          </w:p>
        </w:tc>
        <w:tc>
          <w:tcPr>
            <w:tcW w:type="dxa" w:w="79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13, 15.1</w:t>
            </w:r>
          </w:p>
        </w:tc>
      </w:tr>
      <w:tr>
        <w:trPr>
          <w:cantSplit/>
        </w:trPr>
        <w:tc>
          <w:tcPr>
            <w:tcW w:type="dxa" w:w="6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2.16, 9.5, 10.5, 13.6</w:t>
            </w:r>
          </w:p>
        </w:tc>
        <w:tc>
          <w:tcPr>
            <w:tcW w:type="dxa" w:w="192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Knowledge transfer</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KT sessions, recordings, KT checklist per milestone</w:t>
            </w:r>
          </w:p>
        </w:tc>
        <w:tc>
          <w:tcPr>
            <w:tcW w:type="dxa" w:w="315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KT checklist signed by SportSeek and Srivin</w:t>
            </w:r>
          </w:p>
        </w:tc>
        <w:tc>
          <w:tcPr>
            <w:tcW w:type="dxa" w:w="79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12.2</w:t>
            </w:r>
          </w:p>
        </w:tc>
      </w:tr>
    </w:tbl>
    <w:p>
      <w:pPr>
        <w:spacing w:after="140"/>
      </w:pPr>
    </w:p>
    <w:p>
      <w:pPr>
        <w:sectPr>
          <w:headerReference w:type="default" r:id="rId11"/>
          <w:headerReference w:type="first" r:id="rId12"/>
          <w:footerReference w:type="default" r:id="rId13"/>
          <w:footerReference w:type="first" r:id="rId14"/>
          <w:pgSz w:w="11906" w:h="16838" w:orient="portrait"/>
          <w:pgMar w:top="1134" w:right="1134" w:bottom="1134" w:left="1134" w:header="560" w:footer="560" w:gutter="0"/>
          <w:pgNumType/>
          <w:titlePg w:val="false"/>
          <w:docGrid w:linePitch="360"/>
        </w:sectPr>
      </w:pPr>
    </w:p>
    <w:p>
      <w:pPr>
        <w:pStyle w:val="Heading1"/>
      </w:pPr>
      <w:r>
        <w:t xml:space="preserve">7. Integrated schedule (Gantt)</w:t>
      </w:r>
    </w:p>
    <w:p>
      <w:pPr>
        <w:spacing w:after="60"/>
        <w:jc w:val="center"/>
      </w:pPr>
      <w:r>
        <w:drawing>
          <wp:inline distT="0" distB="0" distL="0" distR="0">
            <wp:extent cx="8572500" cy="5067300"/>
            <wp:effectExtent t="0" r="0" b="0" l="0"/>
            <wp:docPr id="1" name="fig" descr="Figure 2 — Release 2A.0: day-level plan to the 20 October 2026 public launch" title="Figure 2 — Release 2A.0: day-level plan to the 20 October 2026 public laun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8572500" cy="5067300"/>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2 — Release 2A.0: day-level plan to the 20 October 2026 public launch</w:t>
      </w:r>
    </w:p>
    <w:p>
      <w:pPr>
        <w:pStyle w:val="Heading1"/>
        <w:pageBreakBefore/>
      </w:pPr>
      <w:r>
        <w:t xml:space="preserve">8. Detailed activity schedule</w:t>
      </w:r>
    </w:p>
    <w:p>
      <w:pPr>
        <w:spacing w:after="120" w:line="276"/>
      </w:pPr>
      <w:r>
        <w:rPr>
          <w:rFonts w:ascii="Arial" w:cs="Arial" w:eastAsia="Arial" w:hAnsi="Arial"/>
          <w:color w:val="1A1A1A"/>
        </w:rPr>
        <w:t xml:space="preserve">The full activity list with owners, dates, working-day durations and predecessors. The same data is in the accompanying workbook (SRV-SPS-2A-PLN-001a) for import into SportSeek's chosen tool.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725"/>
        <w:gridCol w:w="7383"/>
        <w:gridCol w:w="1252"/>
        <w:gridCol w:w="1252"/>
        <w:gridCol w:w="1252"/>
        <w:gridCol w:w="725"/>
        <w:gridCol w:w="1981"/>
      </w:tblGrid>
      <w:tr>
        <w:trPr>
          <w:cantSplit/>
          <w:tblHeader/>
        </w:trPr>
        <w:tc>
          <w:tcPr>
            <w:tcW w:type="dxa" w:w="72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WBS</w:t>
            </w:r>
          </w:p>
        </w:tc>
        <w:tc>
          <w:tcPr>
            <w:tcW w:type="dxa" w:w="738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Activity</w:t>
            </w:r>
          </w:p>
        </w:tc>
        <w:tc>
          <w:tcPr>
            <w:tcW w:type="dxa" w:w="125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Owner</w:t>
            </w:r>
          </w:p>
        </w:tc>
        <w:tc>
          <w:tcPr>
            <w:tcW w:type="dxa" w:w="125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Start</w:t>
            </w:r>
          </w:p>
        </w:tc>
        <w:tc>
          <w:tcPr>
            <w:tcW w:type="dxa" w:w="125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Finish</w:t>
            </w:r>
          </w:p>
        </w:tc>
        <w:tc>
          <w:tcPr>
            <w:tcW w:type="dxa" w:w="72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Days</w:t>
            </w:r>
          </w:p>
        </w:tc>
        <w:tc>
          <w:tcPr>
            <w:tcW w:type="dxa" w:w="198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Predecessors</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   Programme Management &amp; Governance   (28 Sept 26 – 04 Jun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Mobilisation: NDA, SOW/PO execution, team onboarding, access provisioning</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Sept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Kick-off workshop (SportSeek + 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Integrated plan, RAID log, communication plan, governance charter</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Governance cadence: daily stand-ups, weekly status, fortnightly demos, monthly steering</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Sept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Jun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178</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Change control (per SOW Section 18) — ongoing</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Jun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178</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Phase 2A plan re-baseline &amp; milestone costing sign-off</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3.4FS, 3.3FS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1.7</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2A closure: completion report, lessons learned, handover sign-off</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 May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Jun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13.9</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2   Release 2A.0 — Public Launch (20 Oct 2026)   (29 Sept 26 – 13 Nov 26)</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1 technical &amp; launch-readiness assessment (code, infra, security, data, defects)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Launch Scope Gate: launch scope, go-live criteria &amp; quick-win list frozen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Environment, CI/CD &amp; observability refinement (M1, launch-critical subset)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Sept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Remediation of critical/high Phase 1 defects in launch scope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Security baseline: SAST, dependency &amp; DAST scans; VAPT of launch surface</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Performance / load test at SportSeek-defined launch concurrency</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07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2.3SS, D5</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Store &amp; compliance readiness: listings, privacy policy, DPDP notice/consent, account deletion check</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D6</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Gate-approved quick wins (only items that fit the freeze date)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Code freeze &amp; Release Candidate build</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2.4, 2.8</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2.10</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App store submissions &amp; review window (buffer to 19 Oct)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Full regression + VAPT retest + UAT by SportSeek testers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Launch runbook, rollback plan, on-call rota, war-room set-up</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Go / No-Go decision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2.10, 2.11, 2.12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PUBLIC LAUNCH — Release 2A.0 live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Hypercare (daily triage, extended monitoring)</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KT-0: launch operations, runbook &amp; monitoring walkthrough</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2.14</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3   Phase 2A Discovery, Architecture &amp; Design   (05 Oct 26 – 29 Jan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1 deep-dive: codebase, data model, APIs, integrations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Oct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Requirement workshops per module; user stories &amp; acceptance criteria in SportSeek tool</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3.1SS, D8</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Closure of open items flagged in SOW (ledger visibility, alert catalog, SLAs, perf targets, refund policy, Route enablement)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D10, D11, D15, D16, D20</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High-Level Design: target architecture, ADRs, integration &amp; security design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HLD sign-off</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UX research, design system (atomic: atoms → templates), colour &amp; typography</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3.2SS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3.7</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Design system approval</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3.6</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3.8</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Module wireframes &amp; UI — one sprint ahead of build (Identity → Notifications → Partner → Booking → Ledger)</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3.6SS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3.9</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application UX (responsive layouts for all Phase 1 journeys)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3.6SS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3.10</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Low-Level Design per module — one sprint ahead of build</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Test strategy &amp; automation approach sign-off</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3.4SS</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4   Platform Foundation (M1 — refine)   (16 Nov 26 – 11 Dec 26)</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Infrastructure-as-Code; Dev / Staging / Prod promotion process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CI/CD quality gates: tests, coverage, SAST, dependency &amp; secret scanning</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Async event bus foundation (transactional outbox)</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API Gateway / BFF with app-scoped tokens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Observability: tracing, dashboards, alerting</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M1 complete — Foundation accepted</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4.1, 4.2, 4.3, 4.5</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5   M2 — Shared Identity   (16 Nov 26 – 08 Jan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Identity service core; User, Partner, Admin registered as separate OAuth2/OIDC clients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Registration, OTP &amp; login refactor on User, Partner and Admin clients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Account-linking flow (detect existing phone/email; add role, never duplicate)</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Role management (multi-role identity; role-scoped data)</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KYC/verification attached to identity and reused across roles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Dec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5.4SS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Profile management; credential changes applied to the one shared account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Dec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5.1</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5.7</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Existing-account reconciliation &amp; migration (duplicate detection, merge rules)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Dec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5.3SS, D18</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5.8</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Backward compatibility for live app versions; forced-upgrade strategy</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Dec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5.9</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M2 build complete</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5.2, 5.3, 5.4, 5.5, 5.6, 5.7, 5.8</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6   M6 — Notification Platform Expansion   (30 Nov 26 – 05 Feb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Notification service core: template management &amp; versioning, routing, delivery tracking</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Nov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4.3, D12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Push channel (FCM / APNs)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Dec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6.1SS, D14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Email channel (SportSeek-contracted provider)</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Dec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Dec 26</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6.1SS, D14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Role-scoped notification preferences; cross-app deep links with app-switch handling</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Dec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6.1, 5.4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Notification core build complete (ships in 2A.1)</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6.1, 6.2, 6.3, 6.4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WhatsApp channel via SportSeek-contracted BSP; approved templates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 D13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6.7</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Alert catalog triggers (SOW Section 10.2) wired to domain events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Feb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 D12</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7   M5 — Generalised Partner &amp; Service Model   (28 Dec 26 – 19 Feb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Service-type registry &amp; data model (shared + type-specific fields)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Dec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3.10SS, 5.4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Migration of existing facilities to the generalised model (zero regression)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Admin configuration to enable new service types without code</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App onboarding for coach, physio and nutritionist service types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7.1, 5.9</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Verification workflow per service type (Admin Portal)</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Feb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7.3</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KYC/payout fields; Razorpay Route linked-account onboarding</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7.4SS, D10</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7.7</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Verified services visible in User App listings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7.5</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7.8</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M5 build complete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7.2, 7.4, 7.5, 7.6, 7.7</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8   M4 — Booking, Events &amp; Tournaments Hardening   (11 Jan 27 – 05 Mar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Consistent event/tournament data model aligned with Partner/Service model</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Booking cancellation &amp; refund flow (gateway refund API; policy rules)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8.1SS, D11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Tournament registration cancellation &amp; refund</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Waitlist for full slots/tournaments with time-boxed offers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8.1, 6.5</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Event-edited-after-publish notifications to registered users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Feb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Offline data import tools for completed-event data (validation, dry-run)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 D19</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8.7</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M4 build complete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8.2, 8.3, 8.4, 8.5</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9   Release 2A.1 — Shared Identity + Notification Core   (11 Jan 27 – 27 Apr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System integration test, regression &amp; security scan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5.9, 6.5</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UAT by SportSeek testers; defect fixes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18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Go / No-Go 2A.1</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 Jan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Release 2A.1 live (identity migration executed)</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9.3</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KT-1: Identity &amp; Notification (checklist sign-off)</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90-day warranty — 2A.1</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Jan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Apr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10   Release 2A.2 — Partner Generalisation + Booking Hardening + Multi-channel   (22 Feb 27 – 14 Jun 27)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10.1</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SIT, regression, performance test &amp; VAPT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7.8, 8.7, 6.7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10.2</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UAT by SportSeek testers; defect fixes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10.1</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10.3</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Go / No-Go 2A.2</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Mar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10.2</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10.4</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Release 2A.2 live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10.3</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10.5</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KT-2: Partner/Service, Booking hardening, Notifications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Mar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10.6</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90-day warranty — 2A.2</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Jun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10.4</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11   M3 — Transaction Ledger   (08 Feb 27 – 19 Mar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Gateway data ingestion: webhooks + scheduled reconciliation against Razorpay APIs</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Feb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5.9, D10</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Ledger read model &amp; APIs (idempotent, gateway reference as key)</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11.1SS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Admin ledger: history (filters, sort on every column), transaction detail</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Feb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11.2SS, 3.8</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Statement export (PDF/CSV) matching gateway records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Mar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11.2SS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Refund status tracker</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8.2, 11.2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settlement view (web application)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Mar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7.6, 11.2, 12.1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11.7</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M3 build complete — reconciliation verified vs gateway</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11.3, 11.4, 11.5, 11.6</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12   Web Application (port of Phase 1 mobile functionality)   (30 Nov 26 – 02 Apr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architecture, app shell, authentication against Identity service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Nov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Dec 26</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3.7, 4.4SS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User journeys: venue search, availability, slot booking, payments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 Dec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3.9SS, 12.1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Organiser journeys: events, tournaments, registration, scheduling/brackets, scoring</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Jan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Feb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12.2SS</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journeys: facility/service management, bookings, settlements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Feb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Mar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7.4, 12.1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parity for 2A features (identity/roles, preferences, cancellation, waitlist)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Mar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 Mar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9.4, 7.8, 8.7</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Cross-browser, responsive &amp; accessibility testing; SEO for public pages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Mar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Apr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12.5SS</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12.7</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Web application build complete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Apr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Apr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12.2, 12.3, 12.4, 12.5, 12.6</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13   Release 2A.3 — Transaction Ledger + Web Application (Phase 2A complete)   (05 Apr 27 – 02 Aug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SIT, end-to-end regression, performance test &amp; VAPT (pre-go-live pen test)</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Apr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 Apr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11.7, 12.7, 8.6</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UAT by SportSeek testers; defect fixes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Apr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30 Apr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13.1</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13.3</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Go / No-Go 2A.3</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03 May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03 May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13.2</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13.4</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Release 2A.3 live — PHASE 2A COMPLETE</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Joint</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May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May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13.3</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13.5</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Hypercare</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May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Jun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13.6</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KT-3: Ledger, Web application, full-platform operations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May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 May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13.7</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Infrastructure operations runbook &amp; transition plan (SOW 15.1)</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19 Apr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 May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25</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13.1</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13.8</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90-day warranty — 2A.3</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May 27</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 Aug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13.4</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13.9</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 </w:t>
            </w:r>
            <w:r>
              <w:rPr>
                <w:rFonts w:ascii="Arial" w:cs="Arial" w:eastAsia="Arial" w:hAnsi="Arial"/>
                <w:b/>
                <w:bCs/>
                <w:color w:val="1A1A1A"/>
                <w:sz w:val="16"/>
                <w:szCs w:val="16"/>
              </w:rPr>
              <w:t xml:space="preserve">Phase 2A acceptance &amp; KT checklist sign-off</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May 27</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28 May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13.6, 13.7</w:t>
            </w:r>
          </w:p>
        </w:tc>
      </w:tr>
      <w:tr>
        <w:trPr>
          <w:cantSplit/>
        </w:trPr>
        <w:tc>
          <w:tcPr>
            <w:tcW w:type="dxa" w:w="14570"/>
            <w:gridSpan w:val="7"/>
            <w:tcBorders>
              <w:top w:val="single" w:color="C9CED8" w:sz="4"/>
              <w:left w:val="single" w:color="C9CED8" w:sz="4"/>
              <w:bottom w:val="single" w:color="C9CED8" w:sz="4"/>
              <w:right w:val="single" w:color="C9CED8" w:sz="4"/>
            </w:tcBorders>
            <w:shd w:fill="DCE3EF"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14   Continuous Support Obligations   (20 Oct 26 – 18 Jan 27)</w:t>
            </w:r>
          </w:p>
        </w:tc>
      </w:tr>
      <w:tr>
        <w:trPr>
          <w:cantSplit/>
        </w:trPr>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14.1</w:t>
            </w:r>
          </w:p>
        </w:tc>
        <w:tc>
          <w:tcPr>
            <w:tcW w:type="dxa" w:w="738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1 production monitoring &amp; bug fixes (SOW Section 16)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125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04 Jun 27</w:t>
            </w:r>
          </w:p>
        </w:tc>
        <w:tc>
          <w:tcPr>
            <w:tcW w:type="dxa" w:w="72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164</w:t>
            </w:r>
          </w:p>
        </w:tc>
        <w:tc>
          <w:tcPr>
            <w:tcW w:type="dxa" w:w="19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2.14</w:t>
            </w:r>
          </w:p>
        </w:tc>
      </w:tr>
      <w:tr>
        <w:trPr>
          <w:cantSplit/>
        </w:trPr>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14.2</w:t>
            </w:r>
          </w:p>
        </w:tc>
        <w:tc>
          <w:tcPr>
            <w:tcW w:type="dxa" w:w="738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90-day warranty — 2A.0 launch fixes</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Srivin</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20 Oct 26</w:t>
            </w:r>
          </w:p>
        </w:tc>
        <w:tc>
          <w:tcPr>
            <w:tcW w:type="dxa" w:w="125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18 Jan 27</w:t>
            </w:r>
          </w:p>
        </w:tc>
        <w:tc>
          <w:tcPr>
            <w:tcW w:type="dxa" w:w="72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c>
          <w:tcPr>
            <w:tcW w:type="dxa" w:w="19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2.14</w:t>
            </w:r>
          </w:p>
        </w:tc>
      </w:tr>
    </w:tbl>
    <w:p>
      <w:pPr>
        <w:spacing w:after="140"/>
      </w:pPr>
    </w:p>
    <w:p>
      <w:pPr>
        <w:pStyle w:val="Heading1"/>
        <w:pageBreakBefore/>
      </w:pPr>
      <w:r>
        <w:t xml:space="preserve">9. Dependency management</w:t>
      </w:r>
    </w:p>
    <w:p>
      <w:pPr>
        <w:pStyle w:val="Heading2"/>
        <w:keepNext/>
      </w:pPr>
      <w:r>
        <w:t xml:space="preserve">9.1 Dependency types used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0"/>
        <w:gridCol w:w="6334"/>
        <w:gridCol w:w="6336"/>
      </w:tblGrid>
      <w:tr>
        <w:trPr>
          <w:cantSplit/>
          <w:tblHeader/>
        </w:trPr>
        <w:tc>
          <w:tcPr>
            <w:tcW w:type="dxa" w:w="190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Type</w:t>
            </w:r>
          </w:p>
        </w:tc>
        <w:tc>
          <w:tcPr>
            <w:tcW w:type="dxa" w:w="633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Meaning</w:t>
            </w:r>
          </w:p>
        </w:tc>
        <w:tc>
          <w:tcPr>
            <w:tcW w:type="dxa" w:w="63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8"/>
                <w:szCs w:val="18"/>
              </w:rPr>
              <w:t xml:space="preserve">How it is managed</w:t>
            </w:r>
          </w:p>
        </w:tc>
      </w:tr>
      <w:tr>
        <w:trPr>
          <w:cantSplit/>
        </w:trPr>
        <w:tc>
          <w:tcPr>
            <w:tcW w:type="dxa" w:w="19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FS</w:t>
            </w:r>
          </w:p>
        </w:tc>
        <w:tc>
          <w:tcPr>
            <w:tcW w:type="dxa" w:w="63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Successor starts after predecessor finishes</w:t>
            </w:r>
          </w:p>
        </w:tc>
        <w:tc>
          <w:tcPr>
            <w:tcW w:type="dxa" w:w="6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Tracked in the schedule; a slip propagates automatically</w:t>
            </w:r>
          </w:p>
        </w:tc>
      </w:tr>
      <w:tr>
        <w:trPr>
          <w:cantSplit/>
        </w:trPr>
        <w:tc>
          <w:tcPr>
            <w:tcW w:type="dxa" w:w="190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SS</w:t>
            </w:r>
          </w:p>
        </w:tc>
        <w:tc>
          <w:tcPr>
            <w:tcW w:type="dxa" w:w="633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Successor starts once predecessor has started (e.g. UI one sprint ahead)</w:t>
            </w:r>
          </w:p>
        </w:tc>
        <w:tc>
          <w:tcPr>
            <w:tcW w:type="dxa" w:w="6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Lag reviewed at sprint planning</w:t>
            </w:r>
          </w:p>
        </w:tc>
      </w:tr>
      <w:tr>
        <w:trPr>
          <w:cantSplit/>
        </w:trPr>
        <w:tc>
          <w:tcPr>
            <w:tcW w:type="dxa" w:w="19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External (D-n)</w:t>
            </w:r>
          </w:p>
        </w:tc>
        <w:tc>
          <w:tcPr>
            <w:tcW w:type="dxa" w:w="63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Input from SportSeek or a SportSeek-contracted third party</w:t>
            </w:r>
          </w:p>
        </w:tc>
        <w:tc>
          <w:tcPr>
            <w:tcW w:type="dxa" w:w="6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8"/>
                <w:szCs w:val="18"/>
              </w:rPr>
              <w:t xml:space="preserve">Dated register (9.3); status at every weekly review; escalated 5 working days before the need-by date if not on track</w:t>
            </w:r>
          </w:p>
        </w:tc>
      </w:tr>
    </w:tbl>
    <w:p>
      <w:pPr>
        <w:spacing w:after="140"/>
      </w:pPr>
    </w:p>
    <w:p>
      <w:pPr>
        <w:pStyle w:val="Heading2"/>
        <w:keepNext/>
      </w:pPr>
      <w:r>
        <w:t xml:space="preserve">9.2 Key internal (cross-stream) dependencies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56"/>
        <w:gridCol w:w="3336"/>
        <w:gridCol w:w="3336"/>
        <w:gridCol w:w="667"/>
        <w:gridCol w:w="6675"/>
      </w:tblGrid>
      <w:tr>
        <w:trPr>
          <w:cantSplit/>
          <w:tblHeader/>
        </w:trPr>
        <w:tc>
          <w:tcPr>
            <w:tcW w:type="dxa" w:w="55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t>
            </w:r>
          </w:p>
        </w:tc>
        <w:tc>
          <w:tcPr>
            <w:tcW w:type="dxa" w:w="33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From</w:t>
            </w:r>
          </w:p>
        </w:tc>
        <w:tc>
          <w:tcPr>
            <w:tcW w:type="dxa" w:w="33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To</w:t>
            </w:r>
          </w:p>
        </w:tc>
        <w:tc>
          <w:tcPr>
            <w:tcW w:type="dxa" w:w="66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Type</w:t>
            </w:r>
          </w:p>
        </w:tc>
        <w:tc>
          <w:tcPr>
            <w:tcW w:type="dxa" w:w="667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Why the dependency exists</w:t>
            </w:r>
          </w:p>
        </w:tc>
      </w:tr>
      <w:tr>
        <w:trPr>
          <w:cantSplit/>
        </w:trPr>
        <w:tc>
          <w:tcPr>
            <w:tcW w:type="dxa" w:w="5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I1</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3.5 HLD sign-off</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4.x Foundation; 5.1 Identity core</w:t>
            </w:r>
          </w:p>
        </w:tc>
        <w:tc>
          <w:tcPr>
            <w:tcW w:type="dxa" w:w="6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Architecture decisions (IdP option, event bus, gateway) must be fixed before build</w:t>
            </w:r>
          </w:p>
        </w:tc>
      </w:tr>
      <w:tr>
        <w:trPr>
          <w:cantSplit/>
        </w:trPr>
        <w:tc>
          <w:tcPr>
            <w:tcW w:type="dxa" w:w="5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I2</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3.7 Design system approval</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3.9 Web UX; 12.1 Web shell</w:t>
            </w:r>
          </w:p>
        </w:tc>
        <w:tc>
          <w:tcPr>
            <w:tcW w:type="dxa" w:w="6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SOW 14.2: UI/UX approved before development</w:t>
            </w:r>
          </w:p>
        </w:tc>
      </w:tr>
      <w:tr>
        <w:trPr>
          <w:cantSplit/>
        </w:trPr>
        <w:tc>
          <w:tcPr>
            <w:tcW w:type="dxa" w:w="5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I3</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5.4 Role management</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 Service-type model; 6.4 Role-scoped preferences</w:t>
            </w:r>
          </w:p>
        </w:tc>
        <w:tc>
          <w:tcPr>
            <w:tcW w:type="dxa" w:w="6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Partner types and notification scoping hang off roles on the shared identity</w:t>
            </w:r>
          </w:p>
        </w:tc>
      </w:tr>
      <w:tr>
        <w:trPr>
          <w:cantSplit/>
        </w:trPr>
        <w:tc>
          <w:tcPr>
            <w:tcW w:type="dxa" w:w="5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I4</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4.3 Event bus</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 Notification core</w:t>
            </w:r>
          </w:p>
        </w:tc>
        <w:tc>
          <w:tcPr>
            <w:tcW w:type="dxa" w:w="6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Notifications are triggered by domain events, not synchronous calls (SOW 6.1)</w:t>
            </w:r>
          </w:p>
        </w:tc>
      </w:tr>
      <w:tr>
        <w:trPr>
          <w:cantSplit/>
        </w:trPr>
        <w:tc>
          <w:tcPr>
            <w:tcW w:type="dxa" w:w="5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I5</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7.1 Service-type model</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8.1 Unified event/booking data model</w:t>
            </w:r>
          </w:p>
        </w:tc>
        <w:tc>
          <w:tcPr>
            <w:tcW w:type="dxa" w:w="6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SOW 9.3 asks for a consistent data model supporting the generalisation</w:t>
            </w:r>
          </w:p>
        </w:tc>
      </w:tr>
      <w:tr>
        <w:trPr>
          <w:cantSplit/>
        </w:trPr>
        <w:tc>
          <w:tcPr>
            <w:tcW w:type="dxa" w:w="5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I6</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 Notification core</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8.4 Waitlist; 8.5 Edit notifications</w:t>
            </w:r>
          </w:p>
        </w:tc>
        <w:tc>
          <w:tcPr>
            <w:tcW w:type="dxa" w:w="6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Both features are notification-driven</w:t>
            </w:r>
          </w:p>
        </w:tc>
      </w:tr>
      <w:tr>
        <w:trPr>
          <w:cantSplit/>
        </w:trPr>
        <w:tc>
          <w:tcPr>
            <w:tcW w:type="dxa" w:w="5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I7</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7.6 Route onboarding</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11.6 Partner settlement view</w:t>
            </w:r>
          </w:p>
        </w:tc>
        <w:tc>
          <w:tcPr>
            <w:tcW w:type="dxa" w:w="6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Settlements exist only for Route-linked partner accounts</w:t>
            </w:r>
          </w:p>
        </w:tc>
      </w:tr>
      <w:tr>
        <w:trPr>
          <w:cantSplit/>
        </w:trPr>
        <w:tc>
          <w:tcPr>
            <w:tcW w:type="dxa" w:w="5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I8</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 Cancellation/refund</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11.5 Refund status tracker</w:t>
            </w:r>
          </w:p>
        </w:tc>
        <w:tc>
          <w:tcPr>
            <w:tcW w:type="dxa" w:w="6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Ledger reflects refunds raised by the booking domain</w:t>
            </w:r>
          </w:p>
        </w:tc>
      </w:tr>
      <w:tr>
        <w:trPr>
          <w:cantSplit/>
        </w:trPr>
        <w:tc>
          <w:tcPr>
            <w:tcW w:type="dxa" w:w="5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I9</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5.9 Identity complete</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11.1 Ledger ingestion</w:t>
            </w:r>
          </w:p>
        </w:tc>
        <w:tc>
          <w:tcPr>
            <w:tcW w:type="dxa" w:w="6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Ledger aggregates per person/partner identity (SOW 8.1)</w:t>
            </w:r>
          </w:p>
        </w:tc>
      </w:tr>
      <w:tr>
        <w:trPr>
          <w:cantSplit/>
        </w:trPr>
        <w:tc>
          <w:tcPr>
            <w:tcW w:type="dxa" w:w="5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I10</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9.4 / 10.4 Releases</w:t>
            </w:r>
          </w:p>
        </w:tc>
        <w:tc>
          <w:tcPr>
            <w:tcW w:type="dxa" w:w="33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12.5 Web parity for 2A features</w:t>
            </w:r>
          </w:p>
        </w:tc>
        <w:tc>
          <w:tcPr>
            <w:tcW w:type="dxa" w:w="66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gets 2A features once APIs are released and stable</w:t>
            </w:r>
          </w:p>
        </w:tc>
      </w:tr>
      <w:tr>
        <w:trPr>
          <w:cantSplit/>
        </w:trPr>
        <w:tc>
          <w:tcPr>
            <w:tcW w:type="dxa" w:w="5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I11</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11.7, 12.7, 8.6</w:t>
            </w:r>
          </w:p>
        </w:tc>
        <w:tc>
          <w:tcPr>
            <w:tcW w:type="dxa" w:w="33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13.1 2A.3 SIT &amp; pen test</w:t>
            </w:r>
          </w:p>
        </w:tc>
        <w:tc>
          <w:tcPr>
            <w:tcW w:type="dxa" w:w="66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FS</w:t>
            </w:r>
          </w:p>
        </w:tc>
        <w:tc>
          <w:tcPr>
            <w:tcW w:type="dxa" w:w="667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Final release hardening needs all remaining scope complete</w:t>
            </w:r>
          </w:p>
        </w:tc>
      </w:tr>
    </w:tbl>
    <w:p>
      <w:pPr>
        <w:spacing w:after="140"/>
      </w:pPr>
    </w:p>
    <w:p>
      <w:pPr>
        <w:pStyle w:val="Heading2"/>
        <w:keepNext/>
      </w:pPr>
      <w:r>
        <w:t xml:space="preserve">9.3 External dependency register (SportSeek and third parties)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78"/>
        <w:gridCol w:w="6013"/>
        <w:gridCol w:w="1503"/>
        <w:gridCol w:w="1271"/>
        <w:gridCol w:w="1503"/>
        <w:gridCol w:w="3702"/>
      </w:tblGrid>
      <w:tr>
        <w:trPr>
          <w:cantSplit/>
          <w:tblHeader/>
        </w:trPr>
        <w:tc>
          <w:tcPr>
            <w:tcW w:type="dxa" w:w="57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ID</w:t>
            </w:r>
          </w:p>
        </w:tc>
        <w:tc>
          <w:tcPr>
            <w:tcW w:type="dxa" w:w="601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Dependency</w:t>
            </w:r>
          </w:p>
        </w:tc>
        <w:tc>
          <w:tcPr>
            <w:tcW w:type="dxa" w:w="150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Owner</w:t>
            </w:r>
          </w:p>
        </w:tc>
        <w:tc>
          <w:tcPr>
            <w:tcW w:type="dxa" w:w="127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Need-by</w:t>
            </w:r>
          </w:p>
        </w:tc>
        <w:tc>
          <w:tcPr>
            <w:tcW w:type="dxa" w:w="150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Unblocks</w:t>
            </w:r>
          </w:p>
        </w:tc>
        <w:tc>
          <w:tcPr>
            <w:tcW w:type="dxa" w:w="37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Impact if late</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Mutual NDA and SOW/PO executed</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Start of all work</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D2</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1 source code, DB schema, API docs; cloud, repo, store-console and gateway dashboard access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2.1, 3.1</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Launch assessment cannot start</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D3</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Named Product Owner (decisions within 1 working day during launch window); UAT testers for 15–19 Oct</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2.2, 2.11</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Launch gate and UAT slip</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D4</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Launch scope and go-live criteria sign-off</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01 Oct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Freeze date at risk</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D5</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Expected launch peak concurrent users (load-test target)</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2.6</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Load test runs against an assumed figure</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D6</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Legal content: privacy policy, terms, DPDP notice text, store listing copy &amp; assets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09 Oct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2.7, 2.10</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Store submission blocked</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D7</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Apple App Store &amp; Google Play developer accounts (SportSeek-owned) with release rights</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29 Sept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2.10</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Store submission blocked</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D8</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Requirement tool decision (JIRA or Trello) and workspace</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Oct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3.2</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Backlog managed off-tool temporarily</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D9</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Names and availability of SportSeek developers joining the squads</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 Nov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5.x onward</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Capacity plan re-baselined</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D10</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Written confirmation that Razorpay Route (split settlement) is enabled for coach, physio and nutritionist partner categories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 / Razorpay</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7.6, 11.x</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Ledger compliance-light design cannot be confirmed (SOW 8.3)</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D11</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Refund &amp; cancellation business policy (approver, timeframes, non-refundable items)</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Dec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8.2, 8.3</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Refund flows cannot be finalised</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D12</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Alert catalog confirmed; message templates supplied; new SMS templates registered on DLT</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6.1, 6.7</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Triggers ship without approved content</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D13</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WhatsApp Business Solution Provider contract; Meta-approved message templates</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08 Jan 27</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6.6</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WhatsApp channel slips to next release</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D14</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Email provider and FCM/APNs credentials in SportSeek accounts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27 Nov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6.2, 6.3</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Channel build blocked</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D15</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Decision: is the Transaction Ledger needed in User/Partner apps, or Admin + partner web only (SOW 8.1 open item)</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3.8, 11.x</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Ledger scope unconfirmed</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D16</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Warranty SLA numbers (acknowledge/resolve times) — SOW Section 16 open item</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Support model</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Default proposal applies</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D17</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UI/UX approvals turned around within 3 working days of submission</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Rolling</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3.7, 3.8</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Build start for that module slips day-for-day</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D18</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Approval of account-merge rules for existing duplicate identities</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11 Dec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5.7</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Identity migration cannot execute</w:t>
            </w:r>
          </w:p>
        </w:tc>
      </w:tr>
      <w:tr>
        <w:trPr>
          <w:cantSplit/>
        </w:trPr>
        <w:tc>
          <w:tcPr>
            <w:tcW w:type="dxa" w:w="57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D19</w:t>
            </w:r>
          </w:p>
        </w:tc>
        <w:tc>
          <w:tcPr>
            <w:tcW w:type="dxa" w:w="60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Historical completed-event data files for import</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 Feb 27</w:t>
            </w:r>
          </w:p>
        </w:tc>
        <w:tc>
          <w:tcPr>
            <w:tcW w:type="dxa" w:w="15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8.6</w:t>
            </w:r>
          </w:p>
        </w:tc>
        <w:tc>
          <w:tcPr>
            <w:tcW w:type="dxa" w:w="37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Import tool tested with synthetic data only</w:t>
            </w:r>
          </w:p>
        </w:tc>
      </w:tr>
      <w:tr>
        <w:trPr>
          <w:cantSplit/>
        </w:trPr>
        <w:tc>
          <w:tcPr>
            <w:tcW w:type="dxa" w:w="57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D20</w:t>
            </w:r>
          </w:p>
        </w:tc>
        <w:tc>
          <w:tcPr>
            <w:tcW w:type="dxa" w:w="60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Phase 2A NFR targets: API p95 latency, peak concurrency, uptime SLA</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SportSeek</w:t>
            </w:r>
          </w:p>
        </w:tc>
        <w:tc>
          <w:tcPr>
            <w:tcW w:type="dxa" w:w="127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06 Nov 26</w:t>
            </w:r>
          </w:p>
        </w:tc>
        <w:tc>
          <w:tcPr>
            <w:tcW w:type="dxa" w:w="15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3.4, 10.1, 13.1</w:t>
            </w:r>
          </w:p>
        </w:tc>
        <w:tc>
          <w:tcPr>
            <w:tcW w:type="dxa" w:w="37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Performance acceptance undefined</w:t>
            </w:r>
          </w:p>
        </w:tc>
      </w:tr>
    </w:tbl>
    <w:p>
      <w:pPr>
        <w:spacing w:after="140"/>
      </w:pPr>
    </w:p>
    <w:p>
      <w:pPr>
        <w:sectPr>
          <w:headerReference w:type="default" r:id="rId15"/>
          <w:headerReference w:type="first" r:id="rId16"/>
          <w:footerReference w:type="default" r:id="rId17"/>
          <w:footerReference w:type="first" r:id="rId18"/>
          <w:pgSz w:w="16838" w:h="11906" w:orient="landscape"/>
          <w:pgMar w:top="1134" w:right="1134" w:bottom="1134" w:left="1134" w:header="560" w:footer="560" w:gutter="0"/>
          <w:pgNumType/>
          <w:titlePg w:val="false"/>
          <w:docGrid w:linePitch="360"/>
        </w:sectPr>
      </w:pPr>
    </w:p>
    <w:p>
      <w:pPr>
        <w:pStyle w:val="Heading1"/>
      </w:pPr>
      <w:r>
        <w:t xml:space="preserve">10. Critical path and schedule risk</w:t>
      </w:r>
    </w:p>
    <w:p>
      <w:pPr>
        <w:spacing w:after="60"/>
        <w:jc w:val="center"/>
      </w:pPr>
      <w:r>
        <w:drawing>
          <wp:inline distT="0" distB="0" distL="0" distR="0">
            <wp:extent cx="6096000" cy="1409700"/>
            <wp:effectExtent t="0" r="0" b="0" l="0"/>
            <wp:docPr id="1" name="fig" descr="Figure 3 — Phase 2A critical path" title="Figure 3 — Phase 2A critical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1409700"/>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3 — Phase 2A critical path</w:t>
      </w:r>
    </w:p>
    <w:p>
      <w:pPr>
        <w:spacing w:after="120" w:line="276"/>
      </w:pPr>
      <w:r>
        <w:rPr>
          <w:rFonts w:ascii="Arial" w:cs="Arial" w:eastAsia="Arial" w:hAnsi="Arial"/>
          <w:b/>
          <w:bCs/>
          <w:color w:val="1A1A1A"/>
        </w:rPr>
        <w:t xml:space="preserve">Launch critical path (2A.0):</w:t>
      </w:r>
      <w:r>
        <w:rPr>
          <w:rFonts w:ascii="Arial" w:cs="Arial" w:eastAsia="Arial" w:hAnsi="Arial"/>
          <w:color w:val="1A1A1A"/>
        </w:rPr>
        <w:t xml:space="preserve"> Access (D2) → Assessment (2.1) → Scope Gate (2.2) → Defect remediation (2.4) → Code freeze (2.9) → Store submission (2.10) and UAT (2.11) → Go/No-Go (2.13) → Launch (2.14). The store review window (2.10) is the least controllable step. That is why the release-candidate build is submitted on 14 Oct, with a four-working-day buffer before launch.</w:t>
      </w:r>
    </w:p>
    <w:p>
      <w:pPr>
        <w:spacing w:after="120" w:line="276"/>
      </w:pPr>
      <w:r>
        <w:rPr>
          <w:rFonts w:ascii="Arial" w:cs="Arial" w:eastAsia="Arial" w:hAnsi="Arial"/>
          <w:b/>
          <w:bCs/>
          <w:color w:val="1A1A1A"/>
        </w:rPr>
        <w:t xml:space="preserve">Phase 2A critical path (zero float):</w:t>
      </w:r>
      <w:r>
        <w:rPr>
          <w:rFonts w:ascii="Arial" w:cs="Arial" w:eastAsia="Arial" w:hAnsi="Arial"/>
          <w:color w:val="1A1A1A"/>
        </w:rPr>
        <w:t xml:space="preserve"> HLD sign-off → design-system approval (20 Nov) → web application build (30 Nov – 2 Apr), including web parity for the 2A.1/2A.2 features → 2A.3 SIT, performance and pen test → UAT → Go-live 4 May 2027. Any late design approval (D17) on web screens therefore moves the Phase 2A completion date. We will protect this path by staffing the web stream first when capacity is contested.</w:t>
      </w:r>
    </w:p>
    <w:p>
      <w:pPr>
        <w:spacing w:after="120" w:line="276"/>
      </w:pPr>
      <w:r>
        <w:rPr>
          <w:rFonts w:ascii="Arial" w:cs="Arial" w:eastAsia="Arial" w:hAnsi="Arial"/>
          <w:b/>
          <w:bCs/>
          <w:color w:val="1A1A1A"/>
        </w:rPr>
        <w:t xml:space="preserve">Near-critical chain (about 10 working days of float):</w:t>
      </w:r>
      <w:r>
        <w:rPr>
          <w:rFonts w:ascii="Arial" w:cs="Arial" w:eastAsia="Arial" w:hAnsi="Arial"/>
          <w:color w:val="1A1A1A"/>
        </w:rPr>
        <w:t xml:space="preserve"> Shared Identity (M2) → Partner/Service generalisation (M5) with Razorpay Route linked-account onboarding → Transaction Ledger (M3) → 2A.3 SIT. This chain carries the heaviest external dependencies (D10 Route confirmation, D18 account-merge rules), so it gets the same weekly scrutiny as the critical path.</w:t>
      </w:r>
    </w:p>
    <w:p>
      <w:pPr>
        <w:pStyle w:val="Heading2"/>
        <w:keepNext/>
      </w:pPr>
      <w:r>
        <w:t xml:space="preserve">10.1 Schedule risks on the critical path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7"/>
        <w:gridCol w:w="1362"/>
        <w:gridCol w:w="4869"/>
      </w:tblGrid>
      <w:tr>
        <w:trPr>
          <w:cantSplit/>
          <w:tblHeader/>
        </w:trPr>
        <w:tc>
          <w:tcPr>
            <w:tcW w:type="dxa" w:w="340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Risk</w:t>
            </w:r>
          </w:p>
        </w:tc>
        <w:tc>
          <w:tcPr>
            <w:tcW w:type="dxa" w:w="136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Likelihood / impact</w:t>
            </w:r>
          </w:p>
        </w:tc>
        <w:tc>
          <w:tcPr>
            <w:tcW w:type="dxa" w:w="486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Mitigation built into this plan</w:t>
            </w:r>
          </w:p>
        </w:tc>
      </w:tr>
      <w:tr>
        <w:trPr>
          <w:cantSplit/>
        </w:trPr>
        <w:tc>
          <w:tcPr>
            <w:tcW w:type="dxa" w:w="340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1 assessment reveals more critical defects than fit before the 14 Oct freeze</w:t>
            </w:r>
          </w:p>
        </w:tc>
        <w:tc>
          <w:tcPr>
            <w:tcW w:type="dxa" w:w="1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Medium / High</w:t>
            </w:r>
          </w:p>
        </w:tc>
        <w:tc>
          <w:tcPr>
            <w:tcW w:type="dxa" w:w="48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Assessment in first 3 days; Scope Gate on 1 Oct prioritises fixes; joint Srivin + SportSeek developer remediation; de-scope option per journey</w:t>
            </w:r>
          </w:p>
        </w:tc>
      </w:tr>
      <w:tr>
        <w:trPr>
          <w:cantSplit/>
        </w:trPr>
        <w:tc>
          <w:tcPr>
            <w:tcW w:type="dxa" w:w="340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App store review exceeds buffer</w:t>
            </w:r>
          </w:p>
        </w:tc>
        <w:tc>
          <w:tcPr>
            <w:tcW w:type="dxa" w:w="1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Low–Medium / High</w:t>
            </w:r>
          </w:p>
        </w:tc>
        <w:tc>
          <w:tcPr>
            <w:tcW w:type="dxa" w:w="48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Submit RC on 14 Oct; pre-check store policies (privacy, account deletion, permissions) in 2.7; web/admin launch unaffected</w:t>
            </w:r>
          </w:p>
        </w:tc>
      </w:tr>
      <w:tr>
        <w:trPr>
          <w:cantSplit/>
        </w:trPr>
        <w:tc>
          <w:tcPr>
            <w:tcW w:type="dxa" w:w="340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Route not enabled for new partner categories (D10)</w:t>
            </w:r>
          </w:p>
        </w:tc>
        <w:tc>
          <w:tcPr>
            <w:tcW w:type="dxa" w:w="1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Medium / High</w:t>
            </w:r>
          </w:p>
        </w:tc>
        <w:tc>
          <w:tcPr>
            <w:tcW w:type="dxa" w:w="48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Confirmation needed by 6 Nov, before the 2A baseline; SOW 8.3 flags this as a costing prerequisite</w:t>
            </w:r>
          </w:p>
        </w:tc>
      </w:tr>
      <w:tr>
        <w:trPr>
          <w:cantSplit/>
        </w:trPr>
        <w:tc>
          <w:tcPr>
            <w:tcW w:type="dxa" w:w="340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Duplicate identities in Phase 1 data larger or messier than expected</w:t>
            </w:r>
          </w:p>
        </w:tc>
        <w:tc>
          <w:tcPr>
            <w:tcW w:type="dxa" w:w="1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Medium / Medium</w:t>
            </w:r>
          </w:p>
        </w:tc>
        <w:tc>
          <w:tcPr>
            <w:tcW w:type="dxa" w:w="48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Early duplicate report in 5.7; merge rules approved by 11 Dec (D18); migration dry-runs on Staging</w:t>
            </w:r>
          </w:p>
        </w:tc>
      </w:tr>
      <w:tr>
        <w:trPr>
          <w:cantSplit/>
        </w:trPr>
        <w:tc>
          <w:tcPr>
            <w:tcW w:type="dxa" w:w="340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Design approvals slower than 3 working days (D17), especially web screens on the critical path</w:t>
            </w:r>
          </w:p>
        </w:tc>
        <w:tc>
          <w:tcPr>
            <w:tcW w:type="dxa" w:w="136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Medium / High</w:t>
            </w:r>
          </w:p>
        </w:tc>
        <w:tc>
          <w:tcPr>
            <w:tcW w:type="dxa" w:w="486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UI produced one sprint ahead; fixed weekly design-review slot; web screens reviewed first</w:t>
            </w:r>
          </w:p>
        </w:tc>
      </w:tr>
      <w:tr>
        <w:trPr>
          <w:cantSplit/>
        </w:trPr>
        <w:tc>
          <w:tcPr>
            <w:tcW w:type="dxa" w:w="340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Festival and year-end holidays reduce capacity (Oct–Jan)</w:t>
            </w:r>
          </w:p>
        </w:tc>
        <w:tc>
          <w:tcPr>
            <w:tcW w:type="dxa" w:w="136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High / Low</w:t>
            </w:r>
          </w:p>
        </w:tc>
        <w:tc>
          <w:tcPr>
            <w:tcW w:type="dxa" w:w="486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Holiday calendar agreed at kick-off; S3 planned at reduced velocity</w:t>
            </w:r>
          </w:p>
        </w:tc>
      </w:tr>
    </w:tbl>
    <w:p>
      <w:pPr>
        <w:spacing w:after="140"/>
      </w:pPr>
    </w:p>
    <w:p>
      <w:pPr>
        <w:pStyle w:val="Heading1"/>
        <w:pageBreakBefore/>
      </w:pPr>
      <w:r>
        <w:t xml:space="preserve">11. Milestones, gates and acceptance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
        <w:gridCol w:w="3123"/>
        <w:gridCol w:w="1070"/>
        <w:gridCol w:w="1160"/>
        <w:gridCol w:w="3750"/>
      </w:tblGrid>
      <w:tr>
        <w:trPr>
          <w:cantSplit/>
          <w:tblHeader/>
        </w:trPr>
        <w:tc>
          <w:tcPr>
            <w:tcW w:type="dxa" w:w="53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ID</w:t>
            </w:r>
          </w:p>
        </w:tc>
        <w:tc>
          <w:tcPr>
            <w:tcW w:type="dxa" w:w="312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Milestone / gate</w:t>
            </w:r>
          </w:p>
        </w:tc>
        <w:tc>
          <w:tcPr>
            <w:tcW w:type="dxa" w:w="107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Date</w:t>
            </w:r>
          </w:p>
        </w:tc>
        <w:tc>
          <w:tcPr>
            <w:tcW w:type="dxa" w:w="116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Decision owner</w:t>
            </w:r>
          </w:p>
        </w:tc>
        <w:tc>
          <w:tcPr>
            <w:tcW w:type="dxa" w:w="375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Acceptance evidence</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Kick-off</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29 Sep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Joint</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Governance charter, RACI, access checklist</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2.2</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 Scope Gate</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01 Oct 2026</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Assessment report; frozen launch scope; go-live criteria</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2.9</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Code freeze &amp; RC</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14 Oct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Srivin</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RC build, release notes, green CI pipeline</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2.13</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Go/No-Go (2A.0)</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19 Oct 2026</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VAPT retest clean (no critical/high), load-test report, runbook, store approval status</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2.14</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Public launch</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20 Oct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Joint</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Production smoke test; monitoring dashboards green</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3.5</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HLD sign-off</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 Nov 2026</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HLD document, ADRs, NFR targets</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1.6</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2A re-baseline</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 Nov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Re-baselined plan with confirmed open items and milestone costing</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3.7</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Design system approval</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20 Nov 2026</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Approved design system and component library</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4.6</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M1 Foundation accepted</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27 Nov 2026</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IaC in SportSeek accounts; pipelines with quality gates; observability</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9.4</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2A.1 live</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27 Jan 2027</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identity migration reconciliation report</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10.4</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2A.2 live</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16 Mar 2027</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VAPT and performance reports</w:t>
            </w:r>
          </w:p>
        </w:tc>
      </w:tr>
      <w:tr>
        <w:trPr>
          <w:cantSplit/>
        </w:trPr>
        <w:tc>
          <w:tcPr>
            <w:tcW w:type="dxa" w:w="53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13.4</w:t>
            </w:r>
          </w:p>
        </w:tc>
        <w:tc>
          <w:tcPr>
            <w:tcW w:type="dxa" w:w="312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Release 2A.3 live — Phase 2A complete</w:t>
            </w:r>
          </w:p>
        </w:tc>
        <w:tc>
          <w:tcPr>
            <w:tcW w:type="dxa" w:w="107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04 May 2027</w:t>
            </w:r>
          </w:p>
        </w:tc>
        <w:tc>
          <w:tcPr>
            <w:tcW w:type="dxa" w:w="11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sign-off; pen test (no open critical/high); ledger reconciliation vs gateway</w:t>
            </w:r>
          </w:p>
        </w:tc>
      </w:tr>
      <w:tr>
        <w:trPr>
          <w:cantSplit/>
        </w:trPr>
        <w:tc>
          <w:tcPr>
            <w:tcW w:type="dxa" w:w="53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13.9</w:t>
            </w:r>
          </w:p>
        </w:tc>
        <w:tc>
          <w:tcPr>
            <w:tcW w:type="dxa" w:w="312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Phase 2A acceptance</w:t>
            </w:r>
          </w:p>
        </w:tc>
        <w:tc>
          <w:tcPr>
            <w:tcW w:type="dxa" w:w="107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28 May 2027</w:t>
            </w:r>
          </w:p>
        </w:tc>
        <w:tc>
          <w:tcPr>
            <w:tcW w:type="dxa" w:w="11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w:t>
            </w:r>
          </w:p>
        </w:tc>
        <w:tc>
          <w:tcPr>
            <w:tcW w:type="dxa" w:w="375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All SOW 13 deliverables handed over; KT checklists signed</w:t>
            </w:r>
          </w:p>
        </w:tc>
      </w:tr>
    </w:tbl>
    <w:p>
      <w:pPr>
        <w:spacing w:after="140"/>
      </w:pPr>
    </w:p>
    <w:p>
      <w:pPr>
        <w:pStyle w:val="Heading1"/>
        <w:pageBreakBefore/>
      </w:pPr>
      <w:r>
        <w:t xml:space="preserve">12. Sprint calendar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8"/>
        <w:gridCol w:w="2099"/>
        <w:gridCol w:w="6681"/>
      </w:tblGrid>
      <w:tr>
        <w:trPr>
          <w:cantSplit/>
          <w:tblHeader/>
        </w:trPr>
        <w:tc>
          <w:tcPr>
            <w:tcW w:type="dxa" w:w="85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Sprint</w:t>
            </w:r>
          </w:p>
        </w:tc>
        <w:tc>
          <w:tcPr>
            <w:tcW w:type="dxa" w:w="209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Dates</w:t>
            </w:r>
          </w:p>
        </w:tc>
        <w:tc>
          <w:tcPr>
            <w:tcW w:type="dxa" w:w="668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Primary focus</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S0</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05 Oct – 13 Nov 2026</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Discovery, HLD, design system, backlog (parallel to launch and hypercare)</w:t>
            </w:r>
          </w:p>
        </w:tc>
      </w:tr>
      <w:tr>
        <w:trPr>
          <w:cantSplit/>
        </w:trPr>
        <w:tc>
          <w:tcPr>
            <w:tcW w:type="dxa" w:w="8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S1</w:t>
            </w:r>
          </w:p>
        </w:tc>
        <w:tc>
          <w:tcPr>
            <w:tcW w:type="dxa" w:w="209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16 – 27 Nov 2026</w:t>
            </w:r>
          </w:p>
        </w:tc>
        <w:tc>
          <w:tcPr>
            <w:tcW w:type="dxa" w:w="66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Foundation (IaC, CI/CD gates, event bus, observability); Identity core</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S2</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30 Nov – 11 Dec 2026</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login refactor, account linking, roles; Notification core; Web shell</w:t>
            </w:r>
          </w:p>
        </w:tc>
      </w:tr>
      <w:tr>
        <w:trPr>
          <w:cantSplit/>
        </w:trPr>
        <w:tc>
          <w:tcPr>
            <w:tcW w:type="dxa" w:w="8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S3</w:t>
            </w:r>
          </w:p>
        </w:tc>
        <w:tc>
          <w:tcPr>
            <w:tcW w:type="dxa" w:w="209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14 – 25 Dec 2026</w:t>
            </w:r>
          </w:p>
        </w:tc>
        <w:tc>
          <w:tcPr>
            <w:tcW w:type="dxa" w:w="66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Identity: KYC reuse, profile; Push &amp; Email; Web user journeys (reduced capacity — year-end)</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S4</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28 Dec 2026 – 08 Jan 2027</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Account reconciliation &amp; migration; preferences; service-type model</w:t>
            </w:r>
          </w:p>
        </w:tc>
      </w:tr>
      <w:tr>
        <w:trPr>
          <w:cantSplit/>
        </w:trPr>
        <w:tc>
          <w:tcPr>
            <w:tcW w:type="dxa" w:w="8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S5</w:t>
            </w:r>
          </w:p>
        </w:tc>
        <w:tc>
          <w:tcPr>
            <w:tcW w:type="dxa" w:w="209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11 – 22 Jan 2027</w:t>
            </w:r>
          </w:p>
        </w:tc>
        <w:tc>
          <w:tcPr>
            <w:tcW w:type="dxa" w:w="66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2A.1 SIT/UAT; WhatsApp; facility migration; cancellation &amp; refund</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S6</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25 Jan – 05 Feb 2027</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2A.1 go-live &amp; KT-1; partner onboarding (new types); alert catalog; tournament refunds</w:t>
            </w:r>
          </w:p>
        </w:tc>
      </w:tr>
      <w:tr>
        <w:trPr>
          <w:cantSplit/>
        </w:trPr>
        <w:tc>
          <w:tcPr>
            <w:tcW w:type="dxa" w:w="8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S7</w:t>
            </w:r>
          </w:p>
        </w:tc>
        <w:tc>
          <w:tcPr>
            <w:tcW w:type="dxa" w:w="209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08 – 19 Feb 2027</w:t>
            </w:r>
          </w:p>
        </w:tc>
        <w:tc>
          <w:tcPr>
            <w:tcW w:type="dxa" w:w="66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Route onboarding; waitlist; edit notifications; Ledger ingestion; web partner journeys</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S8</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22 Feb – 05 Mar 2027</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2A.2 SIT/perf/VAPT; Ledger APIs &amp; admin screens; import tools</w:t>
            </w:r>
          </w:p>
        </w:tc>
      </w:tr>
      <w:tr>
        <w:trPr>
          <w:cantSplit/>
        </w:trPr>
        <w:tc>
          <w:tcPr>
            <w:tcW w:type="dxa" w:w="8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S9</w:t>
            </w:r>
          </w:p>
        </w:tc>
        <w:tc>
          <w:tcPr>
            <w:tcW w:type="dxa" w:w="209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08 – 19 Mar 2027</w:t>
            </w:r>
          </w:p>
        </w:tc>
        <w:tc>
          <w:tcPr>
            <w:tcW w:type="dxa" w:w="66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2A.2 UAT &amp; go-live; exports; refund tracker; partner settlement view</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S10</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22 Mar – 02 Apr 2027</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parity, browser/accessibility testing; KT-2 close</w:t>
            </w:r>
          </w:p>
        </w:tc>
      </w:tr>
      <w:tr>
        <w:trPr>
          <w:cantSplit/>
        </w:trPr>
        <w:tc>
          <w:tcPr>
            <w:tcW w:type="dxa" w:w="85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S11</w:t>
            </w:r>
          </w:p>
        </w:tc>
        <w:tc>
          <w:tcPr>
            <w:tcW w:type="dxa" w:w="209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05 – 16 Apr 2027</w:t>
            </w:r>
          </w:p>
        </w:tc>
        <w:tc>
          <w:tcPr>
            <w:tcW w:type="dxa" w:w="66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2A.3 SIT, end-to-end regression, performance and pen test</w:t>
            </w:r>
          </w:p>
        </w:tc>
      </w:tr>
      <w:tr>
        <w:trPr>
          <w:cantSplit/>
        </w:trPr>
        <w:tc>
          <w:tcPr>
            <w:tcW w:type="dxa" w:w="85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w:t>
            </w:r>
          </w:p>
        </w:tc>
        <w:tc>
          <w:tcPr>
            <w:tcW w:type="dxa" w:w="209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19 – 30 Apr 2027</w:t>
            </w:r>
          </w:p>
        </w:tc>
        <w:tc>
          <w:tcPr>
            <w:tcW w:type="dxa" w:w="66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2A.3 UAT; go-live 4 May; hypercare and KT-3 to 4 Jun</w:t>
            </w:r>
          </w:p>
        </w:tc>
      </w:tr>
    </w:tbl>
    <w:p>
      <w:pPr>
        <w:spacing w:after="140"/>
      </w:pPr>
    </w:p>
    <w:p>
      <w:pPr>
        <w:pStyle w:val="Heading1"/>
        <w:pageBreakBefore/>
      </w:pPr>
      <w:r>
        <w:t xml:space="preserve">13. Resource plan, loading and technical skills</w:t>
      </w:r>
    </w:p>
    <w:p>
      <w:pPr>
        <w:spacing w:after="120" w:line="276"/>
      </w:pPr>
      <w:r>
        <w:rPr>
          <w:rFonts w:ascii="Arial" w:cs="Arial" w:eastAsia="Arial" w:hAnsi="Arial"/>
          <w:color w:val="1A1A1A"/>
        </w:rPr>
        <w:t xml:space="preserve">This section shows who Srivin will staff, with which technical skills, and when. It is sized to the schedule in Sections 7–8 and to SportSeek's confirmed technology stack: </w:t>
      </w:r>
      <w:r>
        <w:rPr>
          <w:rFonts w:ascii="Arial" w:cs="Arial" w:eastAsia="Arial" w:hAnsi="Arial"/>
          <w:b/>
          <w:bCs/>
          <w:color w:val="1A1A1A"/>
        </w:rPr>
        <w:t xml:space="preserve">React Native</w:t>
      </w:r>
      <w:r>
        <w:rPr>
          <w:rFonts w:ascii="Arial" w:cs="Arial" w:eastAsia="Arial" w:hAnsi="Arial"/>
          <w:color w:val="1A1A1A"/>
        </w:rPr>
        <w:t xml:space="preserve"> mobile apps, a </w:t>
      </w:r>
      <w:r>
        <w:rPr>
          <w:rFonts w:ascii="Arial" w:cs="Arial" w:eastAsia="Arial" w:hAnsi="Arial"/>
          <w:b/>
          <w:bCs/>
          <w:color w:val="1A1A1A"/>
        </w:rPr>
        <w:t xml:space="preserve">.NET</w:t>
      </w:r>
      <w:r>
        <w:rPr>
          <w:rFonts w:ascii="Arial" w:cs="Arial" w:eastAsia="Arial" w:hAnsi="Arial"/>
          <w:color w:val="1A1A1A"/>
        </w:rPr>
        <w:t xml:space="preserve"> back end and </w:t>
      </w:r>
      <w:r>
        <w:rPr>
          <w:rFonts w:ascii="Arial" w:cs="Arial" w:eastAsia="Arial" w:hAnsi="Arial"/>
          <w:b/>
          <w:bCs/>
          <w:color w:val="1A1A1A"/>
        </w:rPr>
        <w:t xml:space="preserve">PostgreSQL</w:t>
      </w:r>
      <w:r>
        <w:rPr>
          <w:rFonts w:ascii="Arial" w:cs="Arial" w:eastAsia="Arial" w:hAnsi="Arial"/>
          <w:color w:val="1A1A1A"/>
        </w:rPr>
        <w:t xml:space="preserve">. Loading is shown as monthly average full-time equivalents (FTE). October includes mobilisation from 28 September. Final names, CVs and rates will be in the commercial proposal. SportSeek developers and testers (Section 13.6) are in addition to these numbers.</w:t>
      </w:r>
    </w:p>
    <w:p>
      <w:pPr>
        <w:pStyle w:val="Heading2"/>
        <w:keepNext/>
      </w:pPr>
      <w:r>
        <w:t xml:space="preserve">13.1 Technology stack and the skills it demands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2505"/>
        <w:gridCol w:w="5495"/>
      </w:tblGrid>
      <w:tr>
        <w:trPr>
          <w:cantSplit/>
          <w:tblHeader/>
        </w:trPr>
        <w:tc>
          <w:tcPr>
            <w:tcW w:type="dxa" w:w="163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Layer</w:t>
            </w:r>
          </w:p>
        </w:tc>
        <w:tc>
          <w:tcPr>
            <w:tcW w:type="dxa" w:w="250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Technology</w:t>
            </w:r>
          </w:p>
        </w:tc>
        <w:tc>
          <w:tcPr>
            <w:tcW w:type="dxa" w:w="549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Skills we staff for</w:t>
            </w:r>
          </w:p>
        </w:tc>
      </w:tr>
      <w:tr>
        <w:trPr>
          <w:cantSplit/>
        </w:trPr>
        <w:tc>
          <w:tcPr>
            <w:tcW w:type="dxa" w:w="163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Mobile apps (User, Partner)</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React Native (TypeScript), iOS and Android</w:t>
            </w:r>
          </w:p>
        </w:tc>
        <w:tc>
          <w:tcPr>
            <w:tcW w:type="dxa" w:w="549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OIDC/PKCE login on mobile, push (FCM/APNs), deep links and app-switch handling, schema-driven onboarding forms, store release engineering, minimum-version enforcement</w:t>
            </w:r>
          </w:p>
        </w:tc>
      </w:tr>
      <w:tr>
        <w:trPr>
          <w:cantSplit/>
        </w:trPr>
        <w:tc>
          <w:tcPr>
            <w:tcW w:type="dxa" w:w="163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Back end (modular monolith)</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.NET — ASP.NET Core Web API, C#, EF Core with Npgsql</w:t>
            </w:r>
          </w:p>
        </w:tc>
        <w:tc>
          <w:tcPr>
            <w:tcW w:type="dxa" w:w="549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Domain module boundaries, OIDC identity service, transactional outbox and messaging, Razorpay payments/refunds/Route and webhooks, background scheduling, idempotent APIs</w:t>
            </w:r>
          </w:p>
        </w:tc>
      </w:tr>
      <w:tr>
        <w:trPr>
          <w:cantSplit/>
        </w:trPr>
        <w:tc>
          <w:tcPr>
            <w:tcW w:type="dxa" w:w="163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Database</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PostgreSQL (schema per domain)</w:t>
            </w:r>
          </w:p>
        </w:tc>
        <w:tc>
          <w:tcPr>
            <w:tcW w:type="dxa" w:w="549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Expand/contract migrations, JSONB with schema validation, exclusion constraints against double-booking, geospatial radius search, query tuning, identity de-duplication and data migration</w:t>
            </w:r>
          </w:p>
        </w:tc>
      </w:tr>
      <w:tr>
        <w:trPr>
          <w:cantSplit/>
        </w:trPr>
        <w:tc>
          <w:tcPr>
            <w:tcW w:type="dxa" w:w="163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application &amp; Admin Portal</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React + TypeScript (Next.js recommended; ADR-05 in the Technical Approach)</w:t>
            </w:r>
          </w:p>
        </w:tc>
        <w:tc>
          <w:tcPr>
            <w:tcW w:type="dxa" w:w="549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Server-rendered public pages for SEO, shared design tokens with the React Native apps, data-heavy admin screens (ledger filters, sorting, exports), WCAG 2.1 AA</w:t>
            </w:r>
          </w:p>
        </w:tc>
      </w:tr>
      <w:tr>
        <w:trPr>
          <w:cantSplit/>
        </w:trPr>
        <w:tc>
          <w:tcPr>
            <w:tcW w:type="dxa" w:w="163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Quality engineering</w:t>
            </w:r>
          </w:p>
        </w:tc>
        <w:tc>
          <w:tcPr>
            <w:tcW w:type="dxa" w:w="250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xUnit + Testcontainers (.NET), Jest / React Native Testing Library, Detox or Maestro (mobile), Playwright (web), Postman/Newman (API), k6 or JMeter (load)</w:t>
            </w:r>
          </w:p>
        </w:tc>
        <w:tc>
          <w:tcPr>
            <w:tcW w:type="dxa" w:w="549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Automation in CI, regression packs for Phase 1 journeys, payment and refund test scenarios in Razorpay test mode</w:t>
            </w:r>
          </w:p>
        </w:tc>
      </w:tr>
      <w:tr>
        <w:trPr>
          <w:cantSplit/>
        </w:trPr>
        <w:tc>
          <w:tcPr>
            <w:tcW w:type="dxa" w:w="163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Platform &amp; operations</w:t>
            </w:r>
          </w:p>
        </w:tc>
        <w:tc>
          <w:tcPr>
            <w:tcW w:type="dxa" w:w="250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SportSeek-owned cloud, CI/CD and managed PostgreSQL</w:t>
            </w:r>
          </w:p>
        </w:tc>
        <w:tc>
          <w:tcPr>
            <w:tcW w:type="dxa" w:w="549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Infrastructure as code, .NET and React Native build pipelines (Fastlane), OpenTelemetry observability, secrets management, backup/restore drills</w:t>
            </w:r>
          </w:p>
        </w:tc>
      </w:tr>
    </w:tbl>
    <w:p>
      <w:pPr>
        <w:spacing w:after="140"/>
      </w:pPr>
    </w:p>
    <w:p>
      <w:pPr>
        <w:pStyle w:val="Heading2"/>
        <w:keepNext/>
      </w:pPr>
      <w:r>
        <w:t xml:space="preserve">13.2 Team composition and technical skills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0"/>
        <w:gridCol w:w="1019"/>
        <w:gridCol w:w="648"/>
        <w:gridCol w:w="834"/>
        <w:gridCol w:w="3892"/>
        <w:gridCol w:w="1485"/>
      </w:tblGrid>
      <w:tr>
        <w:trPr>
          <w:cantSplit/>
          <w:tblHeader/>
        </w:trPr>
        <w:tc>
          <w:tcPr>
            <w:tcW w:type="dxa" w:w="176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Role</w:t>
            </w:r>
          </w:p>
        </w:tc>
        <w:tc>
          <w:tcPr>
            <w:tcW w:type="dxa" w:w="1019"/>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Seniority</w:t>
            </w:r>
          </w:p>
        </w:tc>
        <w:tc>
          <w:tcPr>
            <w:tcW w:type="dxa" w:w="648"/>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Peak FTE</w:t>
            </w:r>
          </w:p>
        </w:tc>
        <w:tc>
          <w:tcPr>
            <w:tcW w:type="dxa" w:w="83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Person-months</w:t>
            </w:r>
          </w:p>
        </w:tc>
        <w:tc>
          <w:tcPr>
            <w:tcW w:type="dxa" w:w="389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Key technical skills</w:t>
            </w:r>
          </w:p>
        </w:tc>
        <w:tc>
          <w:tcPr>
            <w:tcW w:type="dxa" w:w="148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Tools</w:t>
            </w:r>
          </w:p>
        </w:tc>
      </w:tr>
      <w:tr>
        <w:trPr>
          <w:cantSplit/>
        </w:trPr>
        <w:tc>
          <w:tcPr>
            <w:tcW w:type="dxa" w:w="1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Delivery Manager / TPM</w:t>
            </w:r>
          </w:p>
        </w:tc>
        <w:tc>
          <w:tcPr>
            <w:tcW w:type="dxa" w:w="10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(12+ yrs)</w:t>
            </w:r>
          </w:p>
        </w:tc>
        <w:tc>
          <w:tcPr>
            <w:tcW w:type="dxa" w:w="6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8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8.25</w:t>
            </w:r>
          </w:p>
        </w:tc>
        <w:tc>
          <w:tcPr>
            <w:tcW w:type="dxa" w:w="3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Hybrid agile delivery of multi-squad programmes; integrated planning, critical-path and dependency management; RAID; stakeholder and steering management; change control; release governance</w:t>
            </w:r>
          </w:p>
        </w:tc>
        <w:tc>
          <w:tcPr>
            <w:tcW w:type="dxa" w:w="148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JIRA / Trello, MS Project or equivalent, Confluence-style wiki</w:t>
            </w:r>
          </w:p>
        </w:tc>
      </w:tr>
      <w:tr>
        <w:trPr>
          <w:cantSplit/>
        </w:trPr>
        <w:tc>
          <w:tcPr>
            <w:tcW w:type="dxa" w:w="1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Scrum Master</w:t>
            </w:r>
          </w:p>
        </w:tc>
        <w:tc>
          <w:tcPr>
            <w:tcW w:type="dxa" w:w="10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Mid–Senior (6+ yrs)</w:t>
            </w:r>
          </w:p>
        </w:tc>
        <w:tc>
          <w:tcPr>
            <w:tcW w:type="dxa" w:w="6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83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6.5</w:t>
            </w:r>
          </w:p>
        </w:tc>
        <w:tc>
          <w:tcPr>
            <w:tcW w:type="dxa" w:w="3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Scrum facilitation across 4 squads; sprint metrics (velocity, burndown, predictability); impediment removal; scrum-of-scrums</w:t>
            </w:r>
          </w:p>
        </w:tc>
        <w:tc>
          <w:tcPr>
            <w:tcW w:type="dxa" w:w="148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JIRA / Trello boards and reports</w:t>
            </w:r>
          </w:p>
        </w:tc>
      </w:tr>
      <w:tr>
        <w:trPr>
          <w:cantSplit/>
        </w:trPr>
        <w:tc>
          <w:tcPr>
            <w:tcW w:type="dxa" w:w="1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Solution Architect (.NET / PostgreSQL)</w:t>
            </w:r>
          </w:p>
        </w:tc>
        <w:tc>
          <w:tcPr>
            <w:tcW w:type="dxa" w:w="10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(12+ yrs)</w:t>
            </w:r>
          </w:p>
        </w:tc>
        <w:tc>
          <w:tcPr>
            <w:tcW w:type="dxa" w:w="6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8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7.25</w:t>
            </w:r>
          </w:p>
        </w:tc>
        <w:tc>
          <w:tcPr>
            <w:tcW w:type="dxa" w:w="3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ASP.NET Core modular-monolith and domain-driven design; PostgreSQL data architecture; OAuth2 / OIDC identity design; event-driven integration (transactional outbox, message brokers); payment-gateway architecture incl. Razorpay Route split settlement; React Native client architecture; OWASP ASVS; DPDP-aligned data design</w:t>
            </w:r>
          </w:p>
        </w:tc>
        <w:tc>
          <w:tcPr>
            <w:tcW w:type="dxa" w:w="148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C4 / architecture diagrams, ADRs, SportSeek cloud platform services</w:t>
            </w:r>
          </w:p>
        </w:tc>
      </w:tr>
      <w:tr>
        <w:trPr>
          <w:cantSplit/>
        </w:trPr>
        <w:tc>
          <w:tcPr>
            <w:tcW w:type="dxa" w:w="1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Business Analyst</w:t>
            </w:r>
          </w:p>
        </w:tc>
        <w:tc>
          <w:tcPr>
            <w:tcW w:type="dxa" w:w="10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Mid–Senior (6+ yrs)</w:t>
            </w:r>
          </w:p>
        </w:tc>
        <w:tc>
          <w:tcPr>
            <w:tcW w:type="dxa" w:w="6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2</w:t>
            </w:r>
          </w:p>
        </w:tc>
        <w:tc>
          <w:tcPr>
            <w:tcW w:type="dxa" w:w="83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12.5</w:t>
            </w:r>
          </w:p>
        </w:tc>
        <w:tc>
          <w:tcPr>
            <w:tcW w:type="dxa" w:w="3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Requirement workshops; user stories with Given/When/Then acceptance criteria; booking, events, payments/refunds and partner-onboarding domains; process and state modelling; SOW traceability; UAT scenario design</w:t>
            </w:r>
          </w:p>
        </w:tc>
        <w:tc>
          <w:tcPr>
            <w:tcW w:type="dxa" w:w="148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JIRA / Trello, BPMN / flow diagrams</w:t>
            </w:r>
          </w:p>
        </w:tc>
      </w:tr>
      <w:tr>
        <w:trPr>
          <w:cantSplit/>
        </w:trPr>
        <w:tc>
          <w:tcPr>
            <w:tcW w:type="dxa" w:w="1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UX / UI Designer</w:t>
            </w:r>
          </w:p>
        </w:tc>
        <w:tc>
          <w:tcPr>
            <w:tcW w:type="dxa" w:w="10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Mid–Senior (5+ yrs)</w:t>
            </w:r>
          </w:p>
        </w:tc>
        <w:tc>
          <w:tcPr>
            <w:tcW w:type="dxa" w:w="6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2</w:t>
            </w:r>
          </w:p>
        </w:tc>
        <w:tc>
          <w:tcPr>
            <w:tcW w:type="dxa" w:w="8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10</w:t>
            </w:r>
          </w:p>
        </w:tc>
        <w:tc>
          <w:tcPr>
            <w:tcW w:type="dxa" w:w="3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Atomic design systems (tokens → atoms → templates); mobile (iOS/Android) and responsive web UI; usability research and testing; accessibility (WCAG 2.1 AA); prototyping; developer hand-off</w:t>
            </w:r>
          </w:p>
        </w:tc>
        <w:tc>
          <w:tcPr>
            <w:tcW w:type="dxa" w:w="148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Figma or tool agreed with SportSeek</w:t>
            </w:r>
          </w:p>
        </w:tc>
      </w:tr>
      <w:tr>
        <w:trPr>
          <w:cantSplit/>
        </w:trPr>
        <w:tc>
          <w:tcPr>
            <w:tcW w:type="dxa" w:w="1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.NET Tech Lead</w:t>
            </w:r>
          </w:p>
        </w:tc>
        <w:tc>
          <w:tcPr>
            <w:tcW w:type="dxa" w:w="10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(10+ yrs)</w:t>
            </w:r>
          </w:p>
        </w:tc>
        <w:tc>
          <w:tcPr>
            <w:tcW w:type="dxa" w:w="6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2</w:t>
            </w:r>
          </w:p>
        </w:tc>
        <w:tc>
          <w:tcPr>
            <w:tcW w:type="dxa" w:w="83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13</w:t>
            </w:r>
          </w:p>
        </w:tc>
        <w:tc>
          <w:tcPr>
            <w:tcW w:type="dxa" w:w="3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C# / ASP.NET Core Web API; EF Core with Npgsql; modular boundaries and architecture tests; OIDC server/client implementation (e.g. OpenIddict or ASP.NET Core Identity); background jobs and scheduling; idempotency and webhook handling; code review and mentoring</w:t>
            </w:r>
          </w:p>
        </w:tc>
        <w:tc>
          <w:tcPr>
            <w:tcW w:type="dxa" w:w="148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xUnit, Testcontainers for .NET, NetArchTest / ArchUnitNET, OpenAPI tooling</w:t>
            </w:r>
          </w:p>
        </w:tc>
      </w:tr>
      <w:tr>
        <w:trPr>
          <w:cantSplit/>
        </w:trPr>
        <w:tc>
          <w:tcPr>
            <w:tcW w:type="dxa" w:w="1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.NET Backend Engineer</w:t>
            </w:r>
          </w:p>
        </w:tc>
        <w:tc>
          <w:tcPr>
            <w:tcW w:type="dxa" w:w="10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Mid (4–8 yrs)</w:t>
            </w:r>
          </w:p>
        </w:tc>
        <w:tc>
          <w:tcPr>
            <w:tcW w:type="dxa" w:w="6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4</w:t>
            </w:r>
          </w:p>
        </w:tc>
        <w:tc>
          <w:tcPr>
            <w:tcW w:type="dxa" w:w="8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24</w:t>
            </w:r>
          </w:p>
        </w:tc>
        <w:tc>
          <w:tcPr>
            <w:tcW w:type="dxa" w:w="3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C# / ASP.NET Core; EF Core + Npgsql; LINQ and SQL; REST APIs with OpenAPI; integration with Razorpay (payments, refunds, Route, webhooks), SMS, WhatsApp BSP, FCM/APNs and email; messaging consumers; unit and integration testing</w:t>
            </w:r>
          </w:p>
        </w:tc>
        <w:tc>
          <w:tcPr>
            <w:tcW w:type="dxa" w:w="148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xUnit, Testcontainers, Postman</w:t>
            </w:r>
          </w:p>
        </w:tc>
      </w:tr>
      <w:tr>
        <w:trPr>
          <w:cantSplit/>
        </w:trPr>
        <w:tc>
          <w:tcPr>
            <w:tcW w:type="dxa" w:w="1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PostgreSQL Database Engineer</w:t>
            </w:r>
          </w:p>
        </w:tc>
        <w:tc>
          <w:tcPr>
            <w:tcW w:type="dxa" w:w="10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(8+ yrs)</w:t>
            </w:r>
          </w:p>
        </w:tc>
        <w:tc>
          <w:tcPr>
            <w:tcW w:type="dxa" w:w="6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83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4.75</w:t>
            </w:r>
          </w:p>
        </w:tc>
        <w:tc>
          <w:tcPr>
            <w:tcW w:type="dxa" w:w="3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Schema-per-domain design; EF Core migrations with expand/contract; JSONB with schema validation; exclusion constraints (btree_gist) for double-booking prevention; geospatial radius queries; indexing and query tuning (EXPLAIN ANALYZE); backup / point-in-time recovery; identity de-duplication and data-migration scripts; reconciliation SQL</w:t>
            </w:r>
          </w:p>
        </w:tc>
        <w:tc>
          <w:tcPr>
            <w:tcW w:type="dxa" w:w="148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psql, pg_stat_statements, PostGIS where used</w:t>
            </w:r>
          </w:p>
        </w:tc>
      </w:tr>
      <w:tr>
        <w:trPr>
          <w:cantSplit/>
        </w:trPr>
        <w:tc>
          <w:tcPr>
            <w:tcW w:type="dxa" w:w="1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React Native Lead</w:t>
            </w:r>
          </w:p>
        </w:tc>
        <w:tc>
          <w:tcPr>
            <w:tcW w:type="dxa" w:w="10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(8+ yrs)</w:t>
            </w:r>
          </w:p>
        </w:tc>
        <w:tc>
          <w:tcPr>
            <w:tcW w:type="dxa" w:w="6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8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7</w:t>
            </w:r>
          </w:p>
        </w:tc>
        <w:tc>
          <w:tcPr>
            <w:tcW w:type="dxa" w:w="3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React Native with TypeScript for iOS and Android; navigation, state and API layers; native modules; OIDC with PKCE on mobile (e.g. react-native-app-auth); push notifications (FCM/APNs, e.g. React Native Firebase); deep links / universal links and app-switch handling; minimum-version enforcement; store release management</w:t>
            </w:r>
          </w:p>
        </w:tc>
        <w:tc>
          <w:tcPr>
            <w:tcW w:type="dxa" w:w="148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Fastlane, Xcode, Android Studio, crash and performance monitoring</w:t>
            </w:r>
          </w:p>
        </w:tc>
      </w:tr>
      <w:tr>
        <w:trPr>
          <w:cantSplit/>
        </w:trPr>
        <w:tc>
          <w:tcPr>
            <w:tcW w:type="dxa" w:w="1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React Native Engineer</w:t>
            </w:r>
          </w:p>
        </w:tc>
        <w:tc>
          <w:tcPr>
            <w:tcW w:type="dxa" w:w="10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Mid (4–7 yrs)</w:t>
            </w:r>
          </w:p>
        </w:tc>
        <w:tc>
          <w:tcPr>
            <w:tcW w:type="dxa" w:w="6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2</w:t>
            </w:r>
          </w:p>
        </w:tc>
        <w:tc>
          <w:tcPr>
            <w:tcW w:type="dxa" w:w="83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10.5</w:t>
            </w:r>
          </w:p>
        </w:tc>
        <w:tc>
          <w:tcPr>
            <w:tcW w:type="dxa" w:w="3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React Native + TypeScript; REST integration; schema-driven dynamic forms (partner onboarding); offline/error states; accessibility; unit and component testing; device/OS compatibility fixes</w:t>
            </w:r>
          </w:p>
        </w:tc>
        <w:tc>
          <w:tcPr>
            <w:tcW w:type="dxa" w:w="148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Jest, React Native Testing Library, Detox or Maestro</w:t>
            </w:r>
          </w:p>
        </w:tc>
      </w:tr>
      <w:tr>
        <w:trPr>
          <w:cantSplit/>
        </w:trPr>
        <w:tc>
          <w:tcPr>
            <w:tcW w:type="dxa" w:w="1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Web Front-end Lead (React)</w:t>
            </w:r>
          </w:p>
        </w:tc>
        <w:tc>
          <w:tcPr>
            <w:tcW w:type="dxa" w:w="10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(8+ yrs)</w:t>
            </w:r>
          </w:p>
        </w:tc>
        <w:tc>
          <w:tcPr>
            <w:tcW w:type="dxa" w:w="6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8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6</w:t>
            </w:r>
          </w:p>
        </w:tc>
        <w:tc>
          <w:tcPr>
            <w:tcW w:type="dxa" w:w="3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React + TypeScript; Next.js server rendering for SEO-relevant public pages; shared design tokens / component library with the React Native apps; OIDC for web clients; performance (Core Web Vitals); WCAG 2.1 AA</w:t>
            </w:r>
          </w:p>
        </w:tc>
        <w:tc>
          <w:tcPr>
            <w:tcW w:type="dxa" w:w="148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Next.js, Storybook, Playwright</w:t>
            </w:r>
          </w:p>
        </w:tc>
      </w:tr>
      <w:tr>
        <w:trPr>
          <w:cantSplit/>
        </w:trPr>
        <w:tc>
          <w:tcPr>
            <w:tcW w:type="dxa" w:w="1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Web Front-end Engineer (React)</w:t>
            </w:r>
          </w:p>
        </w:tc>
        <w:tc>
          <w:tcPr>
            <w:tcW w:type="dxa" w:w="10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Mid (3–6 yrs)</w:t>
            </w:r>
          </w:p>
        </w:tc>
        <w:tc>
          <w:tcPr>
            <w:tcW w:type="dxa" w:w="6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2</w:t>
            </w:r>
          </w:p>
        </w:tc>
        <w:tc>
          <w:tcPr>
            <w:tcW w:type="dxa" w:w="83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9.5</w:t>
            </w:r>
          </w:p>
        </w:tc>
        <w:tc>
          <w:tcPr>
            <w:tcW w:type="dxa" w:w="3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React + TypeScript; responsive layouts; forms and validation; API integration; admin and partner web screens incl. ledger tables, filters, sorting and exports</w:t>
            </w:r>
          </w:p>
        </w:tc>
        <w:tc>
          <w:tcPr>
            <w:tcW w:type="dxa" w:w="148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Next.js, Playwright, Jest</w:t>
            </w:r>
          </w:p>
        </w:tc>
      </w:tr>
      <w:tr>
        <w:trPr>
          <w:cantSplit/>
        </w:trPr>
        <w:tc>
          <w:tcPr>
            <w:tcW w:type="dxa" w:w="1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QA Lead (Automation)</w:t>
            </w:r>
          </w:p>
        </w:tc>
        <w:tc>
          <w:tcPr>
            <w:tcW w:type="dxa" w:w="10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(8+ yrs)</w:t>
            </w:r>
          </w:p>
        </w:tc>
        <w:tc>
          <w:tcPr>
            <w:tcW w:type="dxa" w:w="6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w:t>
            </w:r>
          </w:p>
        </w:tc>
        <w:tc>
          <w:tcPr>
            <w:tcW w:type="dxa" w:w="8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8.25</w:t>
            </w:r>
          </w:p>
        </w:tc>
        <w:tc>
          <w:tcPr>
            <w:tcW w:type="dxa" w:w="3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Test strategy and quality gates; automation architecture for API, React Native and web; CI integration; SIT and regression planning; defect governance; UAT support</w:t>
            </w:r>
          </w:p>
        </w:tc>
        <w:tc>
          <w:tcPr>
            <w:tcW w:type="dxa" w:w="148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Playwright, Detox / Maestro / Appium, Postman / Newman, xUnit</w:t>
            </w:r>
          </w:p>
        </w:tc>
      </w:tr>
      <w:tr>
        <w:trPr>
          <w:cantSplit/>
        </w:trPr>
        <w:tc>
          <w:tcPr>
            <w:tcW w:type="dxa" w:w="1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QA Engineer</w:t>
            </w:r>
          </w:p>
        </w:tc>
        <w:tc>
          <w:tcPr>
            <w:tcW w:type="dxa" w:w="10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Mid (3–6 yrs)</w:t>
            </w:r>
          </w:p>
        </w:tc>
        <w:tc>
          <w:tcPr>
            <w:tcW w:type="dxa" w:w="6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2</w:t>
            </w:r>
          </w:p>
        </w:tc>
        <w:tc>
          <w:tcPr>
            <w:tcW w:type="dxa" w:w="83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13.5</w:t>
            </w:r>
          </w:p>
        </w:tc>
        <w:tc>
          <w:tcPr>
            <w:tcW w:type="dxa" w:w="3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Functional and regression testing on iOS, Android and web; API testing; payment, refund, waitlist and notification test scenarios using Razorpay test mode; test-data management; automated test authoring</w:t>
            </w:r>
          </w:p>
        </w:tc>
        <w:tc>
          <w:tcPr>
            <w:tcW w:type="dxa" w:w="148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Postman, Playwright, device farm / physical devices</w:t>
            </w:r>
          </w:p>
        </w:tc>
      </w:tr>
      <w:tr>
        <w:trPr>
          <w:cantSplit/>
        </w:trPr>
        <w:tc>
          <w:tcPr>
            <w:tcW w:type="dxa" w:w="1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DevOps / SRE Engineer</w:t>
            </w:r>
          </w:p>
        </w:tc>
        <w:tc>
          <w:tcPr>
            <w:tcW w:type="dxa" w:w="10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(7+ yrs)</w:t>
            </w:r>
          </w:p>
        </w:tc>
        <w:tc>
          <w:tcPr>
            <w:tcW w:type="dxa" w:w="6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1.5</w:t>
            </w:r>
          </w:p>
        </w:tc>
        <w:tc>
          <w:tcPr>
            <w:tcW w:type="dxa" w:w="8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9</w:t>
            </w:r>
          </w:p>
        </w:tc>
        <w:tc>
          <w:tcPr>
            <w:tcW w:type="dxa" w:w="3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Infrastructure as code in SportSeek's cloud; CI/CD for .NET services and React Native builds; managed PostgreSQL operations; containers; observability (OpenTelemetry for .NET, logs, metrics, alerting); secrets management; backup/restore drills; release automation and on-call</w:t>
            </w:r>
          </w:p>
        </w:tc>
        <w:tc>
          <w:tcPr>
            <w:tcW w:type="dxa" w:w="148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Terraform or cloud-native IaC, SportSeek's CI platform, Fastlane</w:t>
            </w:r>
          </w:p>
        </w:tc>
      </w:tr>
      <w:tr>
        <w:trPr>
          <w:cantSplit/>
        </w:trPr>
        <w:tc>
          <w:tcPr>
            <w:tcW w:type="dxa" w:w="1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Security Engineer (VAPT)</w:t>
            </w:r>
          </w:p>
        </w:tc>
        <w:tc>
          <w:tcPr>
            <w:tcW w:type="dxa" w:w="10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Senior (8+ yrs)</w:t>
            </w:r>
          </w:p>
        </w:tc>
        <w:tc>
          <w:tcPr>
            <w:tcW w:type="dxa" w:w="6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0.5</w:t>
            </w:r>
          </w:p>
        </w:tc>
        <w:tc>
          <w:tcPr>
            <w:tcW w:type="dxa" w:w="83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2.25</w:t>
            </w:r>
          </w:p>
        </w:tc>
        <w:tc>
          <w:tcPr>
            <w:tcW w:type="dxa" w:w="3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Web, API and mobile penetration testing (OWASP WSTG, MASTG); SAST/DAST/SCA tool set-up and triage; secure .NET and React Native review; remediation verification</w:t>
            </w:r>
          </w:p>
        </w:tc>
        <w:tc>
          <w:tcPr>
            <w:tcW w:type="dxa" w:w="148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SAST / DAST / SCA tooling, Burp Suite or equivalent</w:t>
            </w:r>
          </w:p>
        </w:tc>
      </w:tr>
      <w:tr>
        <w:trPr>
          <w:cantSplit/>
        </w:trPr>
        <w:tc>
          <w:tcPr>
            <w:tcW w:type="dxa" w:w="176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Performance Engineer</w:t>
            </w:r>
          </w:p>
        </w:tc>
        <w:tc>
          <w:tcPr>
            <w:tcW w:type="dxa" w:w="1019"/>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Mid–Senior (6+ yrs)</w:t>
            </w:r>
          </w:p>
        </w:tc>
        <w:tc>
          <w:tcPr>
            <w:tcW w:type="dxa" w:w="648"/>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0.5</w:t>
            </w:r>
          </w:p>
        </w:tc>
        <w:tc>
          <w:tcPr>
            <w:tcW w:type="dxa" w:w="83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1.75</w:t>
            </w:r>
          </w:p>
        </w:tc>
        <w:tc>
          <w:tcPr>
            <w:tcW w:type="dxa" w:w="389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Load and stress test design; .NET API profiling; PostgreSQL query and connection-pool analysis; capacity recommendations</w:t>
            </w:r>
          </w:p>
        </w:tc>
        <w:tc>
          <w:tcPr>
            <w:tcW w:type="dxa" w:w="148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k6 or JMeter, dotnet-counters / dotnet-trace</w:t>
            </w:r>
          </w:p>
        </w:tc>
      </w:tr>
      <w:tr>
        <w:trPr>
          <w:cantSplit/>
        </w:trPr>
        <w:tc>
          <w:tcPr>
            <w:tcW w:type="dxa" w:w="176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Total</w:t>
            </w:r>
          </w:p>
        </w:tc>
        <w:tc>
          <w:tcPr>
            <w:tcW w:type="dxa" w:w="1019"/>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648"/>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3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5"/>
                <w:szCs w:val="15"/>
              </w:rPr>
              <w:t xml:space="preserve">154</w:t>
            </w:r>
          </w:p>
        </w:tc>
        <w:tc>
          <w:tcPr>
            <w:tcW w:type="dxa" w:w="389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148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r>
    </w:tbl>
    <w:p>
      <w:pPr>
        <w:spacing w:after="140"/>
      </w:pPr>
    </w:p>
    <w:p>
      <w:pPr>
        <w:sectPr>
          <w:headerReference w:type="default" r:id="rId19"/>
          <w:headerReference w:type="first" r:id="rId20"/>
          <w:footerReference w:type="default" r:id="rId21"/>
          <w:footerReference w:type="first" r:id="rId22"/>
          <w:pgSz w:w="11906" w:h="16838" w:orient="portrait"/>
          <w:pgMar w:top="1134" w:right="1134" w:bottom="1134" w:left="1134" w:header="560" w:footer="560" w:gutter="0"/>
          <w:pgNumType/>
          <w:titlePg w:val="false"/>
          <w:docGrid w:linePitch="360"/>
        </w:sectPr>
      </w:pPr>
    </w:p>
    <w:p>
      <w:pPr>
        <w:pStyle w:val="Heading1"/>
      </w:pPr>
      <w:r>
        <w:t xml:space="preserve">13. Resource plan (continued)</w:t>
      </w:r>
    </w:p>
    <w:p>
      <w:pPr>
        <w:pStyle w:val="Heading2"/>
        <w:keepNext/>
      </w:pPr>
      <w:r>
        <w:t xml:space="preserve">13.3 Monthly resource loading (FTE)</w:t>
      </w:r>
    </w:p>
    <w:p>
      <w:pPr>
        <w:spacing w:after="60"/>
        <w:jc w:val="center"/>
      </w:pPr>
      <w:r>
        <w:drawing>
          <wp:inline distT="0" distB="0" distL="0" distR="0">
            <wp:extent cx="7429500" cy="3267075"/>
            <wp:effectExtent t="0" r="0" b="0" l="0"/>
            <wp:docPr id="1" name="fig" descr="Figure 4 — Srivin resource loading by skill group" title="Figure 4 — Srivin resource loading by skill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7429500" cy="3267075"/>
                    </a:xfrm>
                    <a:prstGeom prst="rect">
                      <a:avLst/>
                    </a:prstGeom>
                  </pic:spPr>
                </pic:pic>
              </a:graphicData>
            </a:graphic>
          </wp:inline>
        </w:drawing>
      </w:r>
    </w:p>
    <w:p>
      <w:pPr>
        <w:spacing w:after="200"/>
        <w:jc w:val="center"/>
      </w:pPr>
      <w:r>
        <w:rPr>
          <w:rFonts w:ascii="Arial" w:cs="Arial" w:eastAsia="Arial" w:hAnsi="Arial"/>
          <w:i/>
          <w:iCs/>
          <w:color w:val="5A5A5A"/>
          <w:sz w:val="17"/>
          <w:szCs w:val="17"/>
        </w:rPr>
        <w:t xml:space="preserve">Figure 4 — Srivin resource loading by skill group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01"/>
        <w:gridCol w:w="1036"/>
        <w:gridCol w:w="1036"/>
        <w:gridCol w:w="1036"/>
        <w:gridCol w:w="1036"/>
        <w:gridCol w:w="1036"/>
        <w:gridCol w:w="1036"/>
        <w:gridCol w:w="1036"/>
        <w:gridCol w:w="1036"/>
        <w:gridCol w:w="1036"/>
        <w:gridCol w:w="1345"/>
      </w:tblGrid>
      <w:tr>
        <w:trPr>
          <w:cantSplit/>
          <w:tblHeader/>
        </w:trPr>
        <w:tc>
          <w:tcPr>
            <w:tcW w:type="dxa" w:w="390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Role</w:t>
            </w:r>
          </w:p>
        </w:tc>
        <w:tc>
          <w:tcPr>
            <w:tcW w:type="dxa" w:w="10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Oct 26</w:t>
            </w:r>
          </w:p>
        </w:tc>
        <w:tc>
          <w:tcPr>
            <w:tcW w:type="dxa" w:w="10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Nov 26</w:t>
            </w:r>
          </w:p>
        </w:tc>
        <w:tc>
          <w:tcPr>
            <w:tcW w:type="dxa" w:w="10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Dec 26</w:t>
            </w:r>
          </w:p>
        </w:tc>
        <w:tc>
          <w:tcPr>
            <w:tcW w:type="dxa" w:w="10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Jan 27</w:t>
            </w:r>
          </w:p>
        </w:tc>
        <w:tc>
          <w:tcPr>
            <w:tcW w:type="dxa" w:w="10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Feb 27</w:t>
            </w:r>
          </w:p>
        </w:tc>
        <w:tc>
          <w:tcPr>
            <w:tcW w:type="dxa" w:w="10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Mar 27</w:t>
            </w:r>
          </w:p>
        </w:tc>
        <w:tc>
          <w:tcPr>
            <w:tcW w:type="dxa" w:w="10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Apr 27</w:t>
            </w:r>
          </w:p>
        </w:tc>
        <w:tc>
          <w:tcPr>
            <w:tcW w:type="dxa" w:w="10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May 27</w:t>
            </w:r>
          </w:p>
        </w:tc>
        <w:tc>
          <w:tcPr>
            <w:tcW w:type="dxa" w:w="103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Jun 27</w:t>
            </w:r>
          </w:p>
        </w:tc>
        <w:tc>
          <w:tcPr>
            <w:tcW w:type="dxa" w:w="1345"/>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Person-months</w:t>
            </w:r>
          </w:p>
        </w:tc>
      </w:tr>
      <w:tr>
        <w:trPr>
          <w:cantSplit/>
        </w:trPr>
        <w:tc>
          <w:tcPr>
            <w:tcW w:type="dxa" w:w="390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Delivery Manager / TPM</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3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8.25</w:t>
            </w:r>
          </w:p>
        </w:tc>
      </w:tr>
      <w:tr>
        <w:trPr>
          <w:cantSplit/>
        </w:trPr>
        <w:tc>
          <w:tcPr>
            <w:tcW w:type="dxa" w:w="390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Scrum Master</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6.5</w:t>
            </w:r>
          </w:p>
        </w:tc>
      </w:tr>
      <w:tr>
        <w:trPr>
          <w:cantSplit/>
        </w:trPr>
        <w:tc>
          <w:tcPr>
            <w:tcW w:type="dxa" w:w="390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Solution Architect (.NET / PostgreSQL)</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0.75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7.25</w:t>
            </w:r>
          </w:p>
        </w:tc>
      </w:tr>
      <w:tr>
        <w:trPr>
          <w:cantSplit/>
        </w:trPr>
        <w:tc>
          <w:tcPr>
            <w:tcW w:type="dxa" w:w="390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Business Analyst</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12.5</w:t>
            </w:r>
          </w:p>
        </w:tc>
      </w:tr>
      <w:tr>
        <w:trPr>
          <w:cantSplit/>
        </w:trPr>
        <w:tc>
          <w:tcPr>
            <w:tcW w:type="dxa" w:w="390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UX / UI Designer</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w:t>
            </w:r>
          </w:p>
        </w:tc>
      </w:tr>
      <w:tr>
        <w:trPr>
          <w:cantSplit/>
        </w:trPr>
        <w:tc>
          <w:tcPr>
            <w:tcW w:type="dxa" w:w="390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.NET Tech Lead</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w:t>
            </w:r>
          </w:p>
        </w:tc>
      </w:tr>
      <w:tr>
        <w:trPr>
          <w:cantSplit/>
        </w:trPr>
        <w:tc>
          <w:tcPr>
            <w:tcW w:type="dxa" w:w="390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.NET Backend Engineer</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3</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24</w:t>
            </w:r>
          </w:p>
        </w:tc>
      </w:tr>
      <w:tr>
        <w:trPr>
          <w:cantSplit/>
        </w:trPr>
        <w:tc>
          <w:tcPr>
            <w:tcW w:type="dxa" w:w="390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PostgreSQL Database Engineer</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4.75</w:t>
            </w:r>
          </w:p>
        </w:tc>
      </w:tr>
      <w:tr>
        <w:trPr>
          <w:cantSplit/>
        </w:trPr>
        <w:tc>
          <w:tcPr>
            <w:tcW w:type="dxa" w:w="390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React Native Lead</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w:t>
            </w:r>
          </w:p>
        </w:tc>
      </w:tr>
      <w:tr>
        <w:trPr>
          <w:cantSplit/>
        </w:trPr>
        <w:tc>
          <w:tcPr>
            <w:tcW w:type="dxa" w:w="390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React Native Engineer</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10.5</w:t>
            </w:r>
          </w:p>
        </w:tc>
      </w:tr>
      <w:tr>
        <w:trPr>
          <w:cantSplit/>
        </w:trPr>
        <w:tc>
          <w:tcPr>
            <w:tcW w:type="dxa" w:w="390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Front-end Lead (React)</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w:t>
            </w:r>
          </w:p>
        </w:tc>
      </w:tr>
      <w:tr>
        <w:trPr>
          <w:cantSplit/>
        </w:trPr>
        <w:tc>
          <w:tcPr>
            <w:tcW w:type="dxa" w:w="390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Front-end Engineer (React)</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9.5</w:t>
            </w:r>
          </w:p>
        </w:tc>
      </w:tr>
      <w:tr>
        <w:trPr>
          <w:cantSplit/>
        </w:trPr>
        <w:tc>
          <w:tcPr>
            <w:tcW w:type="dxa" w:w="390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QA Lead (Automation)</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3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8.25</w:t>
            </w:r>
          </w:p>
        </w:tc>
      </w:tr>
      <w:tr>
        <w:trPr>
          <w:cantSplit/>
        </w:trPr>
        <w:tc>
          <w:tcPr>
            <w:tcW w:type="dxa" w:w="390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QA Engineer</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13.5</w:t>
            </w:r>
          </w:p>
        </w:tc>
      </w:tr>
      <w:tr>
        <w:trPr>
          <w:cantSplit/>
        </w:trPr>
        <w:tc>
          <w:tcPr>
            <w:tcW w:type="dxa" w:w="390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DevOps / SRE Engineer</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3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9</w:t>
            </w:r>
          </w:p>
        </w:tc>
      </w:tr>
      <w:tr>
        <w:trPr>
          <w:cantSplit/>
        </w:trPr>
        <w:tc>
          <w:tcPr>
            <w:tcW w:type="dxa" w:w="390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Security Engineer (VAPT)</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2.25</w:t>
            </w:r>
          </w:p>
        </w:tc>
      </w:tr>
      <w:tr>
        <w:trPr>
          <w:cantSplit/>
        </w:trPr>
        <w:tc>
          <w:tcPr>
            <w:tcW w:type="dxa" w:w="390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Performance Engineer</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0.25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0.5</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03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t>
            </w:r>
          </w:p>
        </w:tc>
        <w:tc>
          <w:tcPr>
            <w:tcW w:type="dxa" w:w="1345"/>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1.75</w:t>
            </w:r>
          </w:p>
        </w:tc>
      </w:tr>
      <w:tr>
        <w:trPr>
          <w:cantSplit/>
        </w:trPr>
        <w:tc>
          <w:tcPr>
            <w:tcW w:type="dxa" w:w="390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Total Srivin FTE</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15.5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19.75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24</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24.5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22.5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20.5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16.25</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10</w:t>
            </w:r>
          </w:p>
        </w:tc>
        <w:tc>
          <w:tcPr>
            <w:tcW w:type="dxa" w:w="103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w:t>
            </w:r>
          </w:p>
        </w:tc>
        <w:tc>
          <w:tcPr>
            <w:tcW w:type="dxa" w:w="1345"/>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b/>
                <w:bCs/>
                <w:color w:val="1A1A1A"/>
                <w:sz w:val="16"/>
                <w:szCs w:val="16"/>
              </w:rPr>
              <w:t xml:space="preserve">154</w:t>
            </w:r>
          </w:p>
        </w:tc>
      </w:tr>
    </w:tbl>
    <w:p>
      <w:pPr>
        <w:spacing w:after="140"/>
      </w:pPr>
    </w:p>
    <w:p>
      <w:pPr>
        <w:spacing w:after="120" w:line="276"/>
      </w:pPr>
      <w:r>
        <w:rPr>
          <w:rFonts w:ascii="Arial" w:cs="Arial" w:eastAsia="Arial" w:hAnsi="Arial"/>
          <w:b/>
          <w:bCs/>
          <w:color w:val="1A1A1A"/>
        </w:rPr>
        <w:t xml:space="preserve">How the loading follows the plan:</w:t>
      </w:r>
      <w:r>
        <w:rPr>
          <w:rFonts w:ascii="Arial" w:cs="Arial" w:eastAsia="Arial" w:hAnsi="Arial"/>
          <w:color w:val="1A1A1A"/>
        </w:rPr>
        <w:t xml:space="preserve"> in October the launch squad (about 11 FTE) runs alongside the discovery cell (architect, analysts, UX). From 16 November the four build squads ramp up to a peak of about 24 FTE in December–January, when Identity, Notifications, Partner/Service, Booking hardening and the Web application are all in flight. From April the team tapers through 2A.3 testing, go-live, hypercare and KT, leaving a small core for closure in early June. The ramp-down is deliberate: as Srivin engineers roll off, SportSeek developers who have worked in the squads take over ownership (Section 13.7).</w:t>
      </w:r>
    </w:p>
    <w:p>
      <w:pPr>
        <w:pStyle w:val="Heading2"/>
        <w:keepNext/>
      </w:pPr>
      <w:r>
        <w:t xml:space="preserve">13.4 Squad composition at peak build (Dec 2026 – Mar 2027)</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43"/>
        <w:gridCol w:w="3700"/>
        <w:gridCol w:w="5781"/>
        <w:gridCol w:w="2546"/>
      </w:tblGrid>
      <w:tr>
        <w:trPr>
          <w:cantSplit/>
          <w:tblHeader/>
        </w:trPr>
        <w:tc>
          <w:tcPr>
            <w:tcW w:type="dxa" w:w="254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Squad</w:t>
            </w:r>
          </w:p>
        </w:tc>
        <w:tc>
          <w:tcPr>
            <w:tcW w:type="dxa" w:w="3700"/>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Scope (WBS)</w:t>
            </w:r>
          </w:p>
        </w:tc>
        <w:tc>
          <w:tcPr>
            <w:tcW w:type="dxa" w:w="578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Srivin members</w:t>
            </w:r>
          </w:p>
        </w:tc>
        <w:tc>
          <w:tcPr>
            <w:tcW w:type="dxa" w:w="254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6"/>
                <w:szCs w:val="16"/>
              </w:rPr>
              <w:t xml:space="preserve">SportSeek members</w:t>
            </w:r>
          </w:p>
        </w:tc>
      </w:tr>
      <w:tr>
        <w:trPr>
          <w:cantSplit/>
        </w:trPr>
        <w:tc>
          <w:tcPr>
            <w:tcW w:type="dxa" w:w="254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 — Platform &amp; Identity</w:t>
            </w:r>
          </w:p>
        </w:tc>
        <w:tc>
          <w:tcPr>
            <w:tcW w:type="dxa" w:w="37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4 Foundation, 5 Shared Identity; then 11 Ledger APIs</w:t>
            </w:r>
          </w:p>
        </w:tc>
        <w:tc>
          <w:tcPr>
            <w:tcW w:type="dxa" w:w="57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.NET Tech Lead, .NET Backend Engineer, React Native Engineer, QA Engineer (shared with C), PostgreSQL Database Engineer (shared)</w:t>
            </w:r>
          </w:p>
        </w:tc>
        <w:tc>
          <w:tcPr>
            <w:tcW w:type="dxa" w:w="254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 .NET developer (recommended)</w:t>
            </w:r>
          </w:p>
        </w:tc>
      </w:tr>
      <w:tr>
        <w:trPr>
          <w:cantSplit/>
        </w:trPr>
        <w:tc>
          <w:tcPr>
            <w:tcW w:type="dxa" w:w="254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B — Partner &amp; Booking</w:t>
            </w:r>
          </w:p>
        </w:tc>
        <w:tc>
          <w:tcPr>
            <w:tcW w:type="dxa" w:w="370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7 Partner/Service model, 8 Booking hardening</w:t>
            </w:r>
          </w:p>
        </w:tc>
        <w:tc>
          <w:tcPr>
            <w:tcW w:type="dxa" w:w="57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.NET Tech Lead, .NET Backend Engineer, React Native Lead, React Native Engineer, QA Engineer</w:t>
            </w:r>
          </w:p>
        </w:tc>
        <w:tc>
          <w:tcPr>
            <w:tcW w:type="dxa" w:w="254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 .NET or React Native developer (recommended)</w:t>
            </w:r>
          </w:p>
        </w:tc>
      </w:tr>
      <w:tr>
        <w:trPr>
          <w:cantSplit/>
        </w:trPr>
        <w:tc>
          <w:tcPr>
            <w:tcW w:type="dxa" w:w="254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 — Notifications &amp; Ledger</w:t>
            </w:r>
          </w:p>
        </w:tc>
        <w:tc>
          <w:tcPr>
            <w:tcW w:type="dxa" w:w="37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6 Notification platform, 11 Transaction Ledger</w:t>
            </w:r>
          </w:p>
        </w:tc>
        <w:tc>
          <w:tcPr>
            <w:tcW w:type="dxa" w:w="57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2 .NET Backend Engineers, QA Engineer (shared with A)</w:t>
            </w:r>
          </w:p>
        </w:tc>
        <w:tc>
          <w:tcPr>
            <w:tcW w:type="dxa" w:w="254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 .NET developer (recommended)</w:t>
            </w:r>
          </w:p>
        </w:tc>
      </w:tr>
      <w:tr>
        <w:trPr>
          <w:cantSplit/>
        </w:trPr>
        <w:tc>
          <w:tcPr>
            <w:tcW w:type="dxa" w:w="254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 — Web Application</w:t>
            </w:r>
          </w:p>
        </w:tc>
        <w:tc>
          <w:tcPr>
            <w:tcW w:type="dxa" w:w="3700"/>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12 Web application; Admin Portal screens for 7 and 11</w:t>
            </w:r>
          </w:p>
        </w:tc>
        <w:tc>
          <w:tcPr>
            <w:tcW w:type="dxa" w:w="578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Web Front-end Lead, 2 Web Front-end Engineers</w:t>
            </w:r>
          </w:p>
        </w:tc>
        <w:tc>
          <w:tcPr>
            <w:tcW w:type="dxa" w:w="254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1 React developer (recommended)</w:t>
            </w:r>
          </w:p>
        </w:tc>
      </w:tr>
      <w:tr>
        <w:trPr>
          <w:cantSplit/>
        </w:trPr>
        <w:tc>
          <w:tcPr>
            <w:tcW w:type="dxa" w:w="254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Cross-squad</w:t>
            </w:r>
          </w:p>
        </w:tc>
        <w:tc>
          <w:tcPr>
            <w:tcW w:type="dxa" w:w="3700"/>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All</w:t>
            </w:r>
          </w:p>
        </w:tc>
        <w:tc>
          <w:tcPr>
            <w:tcW w:type="dxa" w:w="578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Delivery Manager, Scrum Master, Solution Architect, 2 Business Analysts, 2 UX/UI Designers, QA Lead, DevOps/SRE, Security and Performance Engineers (per release)</w:t>
            </w:r>
          </w:p>
        </w:tc>
        <w:tc>
          <w:tcPr>
            <w:tcW w:type="dxa" w:w="254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6"/>
                <w:szCs w:val="16"/>
              </w:rPr>
              <w:t xml:space="preserve">Product Owner, tech reviewer, ops lead</w:t>
            </w:r>
          </w:p>
        </w:tc>
      </w:tr>
    </w:tbl>
    <w:p>
      <w:pPr>
        <w:spacing w:after="140"/>
      </w:pPr>
    </w:p>
    <w:p>
      <w:r>
        <w:br w:type="page"/>
      </w:r>
    </w:p>
    <w:p>
      <w:pPr>
        <w:pStyle w:val="Heading2"/>
        <w:keepNext/>
      </w:pPr>
      <w:r>
        <w:t xml:space="preserve">13.5 Resource-to-WBS assignment matrix</w:t>
      </w:r>
    </w:p>
    <w:p>
      <w:pPr>
        <w:spacing w:after="120" w:line="276"/>
      </w:pPr>
      <w:r>
        <w:rPr>
          <w:rFonts w:ascii="Arial" w:cs="Arial" w:eastAsia="Arial" w:hAnsi="Arial"/>
          <w:color w:val="1A1A1A"/>
        </w:rPr>
        <w:t xml:space="preserve">● = primary responsibility (does most of the work); ○ = supporting or reviewing. Columns are the Level 1 WBS elements in Section 6.1.</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41"/>
        <w:gridCol w:w="802"/>
        <w:gridCol w:w="802"/>
        <w:gridCol w:w="802"/>
        <w:gridCol w:w="802"/>
        <w:gridCol w:w="802"/>
        <w:gridCol w:w="802"/>
        <w:gridCol w:w="802"/>
        <w:gridCol w:w="802"/>
        <w:gridCol w:w="802"/>
        <w:gridCol w:w="802"/>
        <w:gridCol w:w="802"/>
        <w:gridCol w:w="802"/>
        <w:gridCol w:w="802"/>
        <w:gridCol w:w="803"/>
      </w:tblGrid>
      <w:tr>
        <w:trPr>
          <w:cantSplit/>
          <w:tblHeader/>
        </w:trPr>
        <w:tc>
          <w:tcPr>
            <w:tcW w:type="dxa" w:w="3341"/>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Role</w:t>
            </w:r>
          </w:p>
        </w:tc>
        <w:tc>
          <w:tcPr>
            <w:tcW w:type="dxa" w:w="8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1 PM</w:t>
            </w:r>
          </w:p>
        </w:tc>
        <w:tc>
          <w:tcPr>
            <w:tcW w:type="dxa" w:w="8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2 Launch</w:t>
            </w:r>
          </w:p>
        </w:tc>
        <w:tc>
          <w:tcPr>
            <w:tcW w:type="dxa" w:w="8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3 Design</w:t>
            </w:r>
          </w:p>
        </w:tc>
        <w:tc>
          <w:tcPr>
            <w:tcW w:type="dxa" w:w="8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4 Found.</w:t>
            </w:r>
          </w:p>
        </w:tc>
        <w:tc>
          <w:tcPr>
            <w:tcW w:type="dxa" w:w="8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5 Identity</w:t>
            </w:r>
          </w:p>
        </w:tc>
        <w:tc>
          <w:tcPr>
            <w:tcW w:type="dxa" w:w="8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6 Notif.</w:t>
            </w:r>
          </w:p>
        </w:tc>
        <w:tc>
          <w:tcPr>
            <w:tcW w:type="dxa" w:w="8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7 Partner</w:t>
            </w:r>
          </w:p>
        </w:tc>
        <w:tc>
          <w:tcPr>
            <w:tcW w:type="dxa" w:w="8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8 Booking</w:t>
            </w:r>
          </w:p>
        </w:tc>
        <w:tc>
          <w:tcPr>
            <w:tcW w:type="dxa" w:w="8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9 Rel 2A.1</w:t>
            </w:r>
          </w:p>
        </w:tc>
        <w:tc>
          <w:tcPr>
            <w:tcW w:type="dxa" w:w="8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10 Rel 2A.2</w:t>
            </w:r>
          </w:p>
        </w:tc>
        <w:tc>
          <w:tcPr>
            <w:tcW w:type="dxa" w:w="8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11 Ledger</w:t>
            </w:r>
          </w:p>
        </w:tc>
        <w:tc>
          <w:tcPr>
            <w:tcW w:type="dxa" w:w="8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12 Web</w:t>
            </w:r>
          </w:p>
        </w:tc>
        <w:tc>
          <w:tcPr>
            <w:tcW w:type="dxa" w:w="802"/>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13 Rel 2A.3</w:t>
            </w:r>
          </w:p>
        </w:tc>
        <w:tc>
          <w:tcPr>
            <w:tcW w:type="dxa" w:w="80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5"/>
                <w:szCs w:val="15"/>
              </w:rPr>
              <w:t xml:space="preserve">14 Support</w:t>
            </w:r>
          </w:p>
        </w:tc>
      </w:tr>
      <w:tr>
        <w:trPr>
          <w:cantSplit/>
        </w:trPr>
        <w:tc>
          <w:tcPr>
            <w:tcW w:type="dxa" w:w="33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Delivery Manager / TPM</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3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Scrum Master</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r>
      <w:tr>
        <w:trPr>
          <w:cantSplit/>
        </w:trPr>
        <w:tc>
          <w:tcPr>
            <w:tcW w:type="dxa" w:w="33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Solution Architect (.NET / PostgreSQL)</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3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Business Analyst</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r>
      <w:tr>
        <w:trPr>
          <w:cantSplit/>
        </w:trPr>
        <w:tc>
          <w:tcPr>
            <w:tcW w:type="dxa" w:w="33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UX / UI Designer</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r>
      <w:tr>
        <w:trPr>
          <w:cantSplit/>
        </w:trPr>
        <w:tc>
          <w:tcPr>
            <w:tcW w:type="dxa" w:w="33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.NET Tech Lead</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3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.NET Backend Engineer</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3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PostgreSQL Database Engineer</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r>
      <w:tr>
        <w:trPr>
          <w:cantSplit/>
        </w:trPr>
        <w:tc>
          <w:tcPr>
            <w:tcW w:type="dxa" w:w="33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React Native Lead</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3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React Native Engineer</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3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Web Front-end Lead (React)</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r>
      <w:tr>
        <w:trPr>
          <w:cantSplit/>
        </w:trPr>
        <w:tc>
          <w:tcPr>
            <w:tcW w:type="dxa" w:w="33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Web Front-end Engineer (React)</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r>
      <w:tr>
        <w:trPr>
          <w:cantSplit/>
        </w:trPr>
        <w:tc>
          <w:tcPr>
            <w:tcW w:type="dxa" w:w="33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QA Lead (Automation)</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3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QA Engineer</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r>
      <w:tr>
        <w:trPr>
          <w:cantSplit/>
        </w:trPr>
        <w:tc>
          <w:tcPr>
            <w:tcW w:type="dxa" w:w="33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DevOps / SRE Engineer</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r>
      <w:tr>
        <w:trPr>
          <w:cantSplit/>
        </w:trPr>
        <w:tc>
          <w:tcPr>
            <w:tcW w:type="dxa" w:w="3341"/>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Security Engineer (VAPT)</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p>
        </w:tc>
      </w:tr>
      <w:tr>
        <w:trPr>
          <w:cantSplit/>
        </w:trPr>
        <w:tc>
          <w:tcPr>
            <w:tcW w:type="dxa" w:w="3341"/>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Performance Engineer</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c>
          <w:tcPr>
            <w:tcW w:type="dxa" w:w="802"/>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5"/>
                <w:szCs w:val="15"/>
              </w:rPr>
              <w:t xml:space="preserve">●</w:t>
            </w:r>
          </w:p>
        </w:tc>
        <w:tc>
          <w:tcPr>
            <w:tcW w:type="dxa" w:w="80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p>
        </w:tc>
      </w:tr>
    </w:tbl>
    <w:p>
      <w:pPr>
        <w:spacing w:after="140"/>
      </w:pPr>
    </w:p>
    <w:p>
      <w:pPr>
        <w:sectPr>
          <w:headerReference w:type="default" r:id="rId23"/>
          <w:headerReference w:type="first" r:id="rId24"/>
          <w:footerReference w:type="default" r:id="rId25"/>
          <w:footerReference w:type="first" r:id="rId26"/>
          <w:pgSz w:w="16838" w:h="11906" w:orient="landscape"/>
          <w:pgMar w:top="1134" w:right="1134" w:bottom="1134" w:left="1134" w:header="560" w:footer="560" w:gutter="0"/>
          <w:pgNumType/>
          <w:titlePg w:val="false"/>
          <w:docGrid w:linePitch="360"/>
        </w:sectPr>
      </w:pPr>
    </w:p>
    <w:p>
      <w:pPr>
        <w:pStyle w:val="Heading1"/>
      </w:pPr>
      <w:r>
        <w:t xml:space="preserve">13. Resource plan (continued)</w:t>
      </w:r>
    </w:p>
    <w:p>
      <w:pPr>
        <w:pStyle w:val="Heading2"/>
        <w:keepNext/>
      </w:pPr>
      <w:r>
        <w:t xml:space="preserve">13.6 SportSeek-provided resources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156"/>
        <w:gridCol w:w="2313"/>
        <w:gridCol w:w="3856"/>
      </w:tblGrid>
      <w:tr>
        <w:trPr>
          <w:cantSplit/>
          <w:tblHeader/>
        </w:trPr>
        <w:tc>
          <w:tcPr>
            <w:tcW w:type="dxa" w:w="231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Role</w:t>
            </w:r>
          </w:p>
        </w:tc>
        <w:tc>
          <w:tcPr>
            <w:tcW w:type="dxa" w:w="115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Number</w:t>
            </w:r>
          </w:p>
        </w:tc>
        <w:tc>
          <w:tcPr>
            <w:tcW w:type="dxa" w:w="2313"/>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When</w:t>
            </w:r>
          </w:p>
        </w:tc>
        <w:tc>
          <w:tcPr>
            <w:tcW w:type="dxa" w:w="3856"/>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Skills / responsibilities</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Product Owner</w:t>
            </w:r>
          </w:p>
        </w:tc>
        <w:tc>
          <w:tcPr>
            <w:tcW w:type="dxa" w:w="11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 (named)</w:t>
            </w:r>
          </w:p>
        </w:tc>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Throughout; decisions within 1 working day during the launch window</w:t>
            </w:r>
          </w:p>
        </w:tc>
        <w:tc>
          <w:tcPr>
            <w:tcW w:type="dxa" w:w="38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Backlog priority, story acceptance, SOW open-item decisions (SOW §5)</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Technical reviewer / architect</w:t>
            </w:r>
          </w:p>
        </w:tc>
        <w:tc>
          <w:tcPr>
            <w:tcW w:type="dxa" w:w="11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 (part-time)</w:t>
            </w:r>
          </w:p>
        </w:tc>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Design authority, HLD/LLD reviews</w:t>
            </w:r>
          </w:p>
        </w:tc>
        <w:tc>
          <w:tcPr>
            <w:tcW w:type="dxa" w:w="38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.NET and PostgreSQL familiarity with Phase 1; review and approve designs</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SportSeek developers</w:t>
            </w:r>
          </w:p>
        </w:tc>
        <w:tc>
          <w:tcPr>
            <w:tcW w:type="dxa" w:w="11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4 recommended (1 per squad); number to be confirmed (D9)</w:t>
            </w:r>
          </w:p>
        </w:tc>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From Sprint 1 (16 Nov 2026)</w:t>
            </w:r>
          </w:p>
        </w:tc>
        <w:tc>
          <w:tcPr>
            <w:tcW w:type="dxa" w:w="38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.NET, React Native or React, as per squad (Section 13.4); full squad members</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UAT testers</w:t>
            </w:r>
          </w:p>
        </w:tc>
        <w:tc>
          <w:tcPr>
            <w:tcW w:type="dxa" w:w="11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 recommended</w:t>
            </w:r>
          </w:p>
        </w:tc>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15–19 Oct 2026; Jan, Mar and Apr 2027 UAT windows</w:t>
            </w:r>
          </w:p>
        </w:tc>
        <w:tc>
          <w:tcPr>
            <w:tcW w:type="dxa" w:w="38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Business scenario testing across User, Partner, Admin and Web</w:t>
            </w:r>
          </w:p>
        </w:tc>
      </w:tr>
      <w:tr>
        <w:trPr>
          <w:cantSplit/>
        </w:trPr>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Operations lead</w:t>
            </w:r>
          </w:p>
        </w:tc>
        <w:tc>
          <w:tcPr>
            <w:tcW w:type="dxa" w:w="11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w:t>
            </w:r>
          </w:p>
        </w:tc>
        <w:tc>
          <w:tcPr>
            <w:tcW w:type="dxa" w:w="2313"/>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From KT-0; co-operate stage from 2A.2</w:t>
            </w:r>
          </w:p>
        </w:tc>
        <w:tc>
          <w:tcPr>
            <w:tcW w:type="dxa" w:w="3856"/>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Receives infrastructure handover (SOW §15.1)</w:t>
            </w:r>
          </w:p>
        </w:tc>
      </w:tr>
      <w:tr>
        <w:trPr>
          <w:cantSplit/>
        </w:trPr>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Legal / compliance contact</w:t>
            </w:r>
          </w:p>
        </w:tc>
        <w:tc>
          <w:tcPr>
            <w:tcW w:type="dxa" w:w="11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As needed</w:t>
            </w:r>
          </w:p>
        </w:tc>
        <w:tc>
          <w:tcPr>
            <w:tcW w:type="dxa" w:w="2313"/>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Launch (by 9 Oct) and DPDP reviews</w:t>
            </w:r>
          </w:p>
        </w:tc>
        <w:tc>
          <w:tcPr>
            <w:tcW w:type="dxa" w:w="3856"/>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Privacy policy, terms, DPDP notice, refund policy</w:t>
            </w:r>
          </w:p>
        </w:tc>
      </w:tr>
    </w:tbl>
    <w:p>
      <w:pPr>
        <w:spacing w:after="140"/>
      </w:pPr>
    </w:p>
    <w:p>
      <w:pPr>
        <w:pStyle w:val="Heading2"/>
        <w:keepNext/>
      </w:pPr>
      <w:r>
        <w:t xml:space="preserve">13.7 Onboarding, continuity and roll-off</w:t>
      </w:r>
    </w:p>
    <w:p>
      <w:pPr>
        <w:pStyle w:val="ListParagraph"/>
        <w:numPr>
          <w:ilvl w:val="0"/>
          <w:numId w:val="2"/>
        </w:numPr>
        <w:spacing w:after="60" w:line="264"/>
      </w:pPr>
      <w:r>
        <w:rPr>
          <w:rFonts w:ascii="Arial" w:cs="Arial" w:eastAsia="Arial" w:hAnsi="Arial"/>
          <w:b/>
          <w:bCs/>
          <w:color w:val="1A1A1A"/>
        </w:rPr>
        <w:t xml:space="preserve">Launch squad on day 1</w:t>
      </w:r>
      <w:r>
        <w:rPr>
          <w:rFonts w:ascii="Arial" w:cs="Arial" w:eastAsia="Arial" w:hAnsi="Arial"/>
          <w:color w:val="1A1A1A"/>
        </w:rPr>
        <w:t xml:space="preserve">: named engineers with React Native, .NET and PostgreSQL experience start on 28–29 Sep, so the Phase 1 assessment begins the moment access is granted (D2).</w:t>
      </w:r>
    </w:p>
    <w:p>
      <w:pPr>
        <w:pStyle w:val="ListParagraph"/>
        <w:numPr>
          <w:ilvl w:val="0"/>
          <w:numId w:val="2"/>
        </w:numPr>
        <w:spacing w:after="60" w:line="264"/>
      </w:pPr>
      <w:r>
        <w:rPr>
          <w:rFonts w:ascii="Arial" w:cs="Arial" w:eastAsia="Arial" w:hAnsi="Arial"/>
          <w:b/>
          <w:bCs/>
          <w:color w:val="1A1A1A"/>
        </w:rPr>
        <w:t xml:space="preserve">Key-person continuity</w:t>
      </w:r>
      <w:r>
        <w:rPr>
          <w:rFonts w:ascii="Arial" w:cs="Arial" w:eastAsia="Arial" w:hAnsi="Arial"/>
          <w:color w:val="1A1A1A"/>
        </w:rPr>
        <w:t xml:space="preserve">: the Delivery Manager, Solution Architect, .NET Tech Leads, React Native Lead and QA Lead stay for the full engagement. Any change needs SportSeek notice and a two-week overlap handover.</w:t>
      </w:r>
    </w:p>
    <w:p>
      <w:pPr>
        <w:pStyle w:val="ListParagraph"/>
        <w:numPr>
          <w:ilvl w:val="0"/>
          <w:numId w:val="2"/>
        </w:numPr>
        <w:spacing w:after="60" w:line="264"/>
      </w:pPr>
      <w:r>
        <w:rPr>
          <w:rFonts w:ascii="Arial" w:cs="Arial" w:eastAsia="Arial" w:hAnsi="Arial"/>
          <w:b/>
          <w:bCs/>
          <w:color w:val="1A1A1A"/>
        </w:rPr>
        <w:t xml:space="preserve">Ramp-up</w:t>
      </w:r>
      <w:r>
        <w:rPr>
          <w:rFonts w:ascii="Arial" w:cs="Arial" w:eastAsia="Arial" w:hAnsi="Arial"/>
          <w:color w:val="1A1A1A"/>
        </w:rPr>
        <w:t xml:space="preserve">: build squads onboard in the week of 9 Nov with Phase 1 code walkthroughs, environment set-up and pairing on HLD spikes, so Sprint 1 starts productive.</w:t>
      </w:r>
    </w:p>
    <w:p>
      <w:pPr>
        <w:pStyle w:val="ListParagraph"/>
        <w:numPr>
          <w:ilvl w:val="0"/>
          <w:numId w:val="2"/>
        </w:numPr>
        <w:spacing w:after="60" w:line="264"/>
      </w:pPr>
      <w:r>
        <w:rPr>
          <w:rFonts w:ascii="Arial" w:cs="Arial" w:eastAsia="Arial" w:hAnsi="Arial"/>
          <w:b/>
          <w:bCs/>
          <w:color w:val="1A1A1A"/>
        </w:rPr>
        <w:t xml:space="preserve">Skills coverage</w:t>
      </w:r>
      <w:r>
        <w:rPr>
          <w:rFonts w:ascii="Arial" w:cs="Arial" w:eastAsia="Arial" w:hAnsi="Arial"/>
          <w:color w:val="1A1A1A"/>
        </w:rPr>
        <w:t xml:space="preserve">: every critical skill (.NET identity/OIDC, PostgreSQL migrations, React Native release engineering, Razorpay integration) is held by at least two people across Srivin and SportSeek by the end of 2A.1.</w:t>
      </w:r>
    </w:p>
    <w:p>
      <w:pPr>
        <w:pStyle w:val="ListParagraph"/>
        <w:numPr>
          <w:ilvl w:val="0"/>
          <w:numId w:val="2"/>
        </w:numPr>
        <w:spacing w:after="60" w:line="264"/>
      </w:pPr>
      <w:r>
        <w:rPr>
          <w:rFonts w:ascii="Arial" w:cs="Arial" w:eastAsia="Arial" w:hAnsi="Arial"/>
          <w:b/>
          <w:bCs/>
          <w:color w:val="1A1A1A"/>
        </w:rPr>
        <w:t xml:space="preserve">Roll-off</w:t>
      </w:r>
      <w:r>
        <w:rPr>
          <w:rFonts w:ascii="Arial" w:cs="Arial" w:eastAsia="Arial" w:hAnsi="Arial"/>
          <w:color w:val="1A1A1A"/>
        </w:rPr>
        <w:t xml:space="preserve">: engineers roll off only after the KT checklist for their module is signed (SOW §12.2), and SportSeek developers take over module ownership as Srivin capacity reduces from April 2027.</w:t>
      </w:r>
    </w:p>
    <w:p>
      <w:pPr>
        <w:pStyle w:val="Heading1"/>
        <w:pageBreakBefore/>
      </w:pPr>
      <w:r>
        <w:t xml:space="preserve">14. Baseline control and re-planning rules</w:t>
      </w:r>
    </w:p>
    <w:p>
      <w:pPr>
        <w:pStyle w:val="ListParagraph"/>
        <w:numPr>
          <w:ilvl w:val="0"/>
          <w:numId w:val="2"/>
        </w:numPr>
        <w:spacing w:after="60" w:line="264"/>
      </w:pPr>
      <w:r>
        <w:rPr>
          <w:rFonts w:ascii="Arial" w:cs="Arial" w:eastAsia="Arial" w:hAnsi="Arial"/>
          <w:b/>
          <w:bCs/>
          <w:color w:val="1A1A1A"/>
        </w:rPr>
        <w:t xml:space="preserve">Baselines:</w:t>
      </w:r>
      <w:r>
        <w:rPr>
          <w:rFonts w:ascii="Arial" w:cs="Arial" w:eastAsia="Arial" w:hAnsi="Arial"/>
          <w:color w:val="1A1A1A"/>
        </w:rPr>
        <w:t xml:space="preserve"> this plan is Baseline 0. Baseline 1 is set at the Phase 2A re-baseline (13 Nov 2026), once HLD and the open items (D10, D11, D15, D16, D20) are closed.</w:t>
      </w:r>
    </w:p>
    <w:p>
      <w:pPr>
        <w:pStyle w:val="ListParagraph"/>
        <w:numPr>
          <w:ilvl w:val="0"/>
          <w:numId w:val="2"/>
        </w:numPr>
        <w:spacing w:after="60" w:line="264"/>
      </w:pPr>
      <w:r>
        <w:rPr>
          <w:rFonts w:ascii="Arial" w:cs="Arial" w:eastAsia="Arial" w:hAnsi="Arial"/>
          <w:b/>
          <w:bCs/>
          <w:color w:val="1A1A1A"/>
        </w:rPr>
        <w:t xml:space="preserve">Tolerances:</w:t>
      </w:r>
      <w:r>
        <w:rPr>
          <w:rFonts w:ascii="Arial" w:cs="Arial" w:eastAsia="Arial" w:hAnsi="Arial"/>
          <w:color w:val="1A1A1A"/>
        </w:rPr>
        <w:t xml:space="preserve"> a forecast slip of more than 5 working days on any go-live milestone, or more than 10 working days on any build milestone, is escalated to the Steering Committee with options.</w:t>
      </w:r>
    </w:p>
    <w:p>
      <w:pPr>
        <w:pStyle w:val="ListParagraph"/>
        <w:numPr>
          <w:ilvl w:val="0"/>
          <w:numId w:val="2"/>
        </w:numPr>
        <w:spacing w:after="60" w:line="264"/>
      </w:pPr>
      <w:r>
        <w:rPr>
          <w:rFonts w:ascii="Arial" w:cs="Arial" w:eastAsia="Arial" w:hAnsi="Arial"/>
          <w:b/>
          <w:bCs/>
          <w:color w:val="1A1A1A"/>
        </w:rPr>
        <w:t xml:space="preserve">Change:</w:t>
      </w:r>
      <w:r>
        <w:rPr>
          <w:rFonts w:ascii="Arial" w:cs="Arial" w:eastAsia="Arial" w:hAnsi="Arial"/>
          <w:color w:val="1A1A1A"/>
        </w:rPr>
        <w:t xml:space="preserve"> scope changes follow SOW Section 18: a written request, then a Srivin impact assessment within 5 business days, then SportSeek approval and a baseline update.</w:t>
      </w:r>
    </w:p>
    <w:p>
      <w:pPr>
        <w:pStyle w:val="ListParagraph"/>
        <w:numPr>
          <w:ilvl w:val="0"/>
          <w:numId w:val="2"/>
        </w:numPr>
        <w:spacing w:after="60" w:line="264"/>
      </w:pPr>
      <w:r>
        <w:rPr>
          <w:rFonts w:ascii="Arial" w:cs="Arial" w:eastAsia="Arial" w:hAnsi="Arial"/>
          <w:b/>
          <w:bCs/>
          <w:color w:val="1A1A1A"/>
        </w:rPr>
        <w:t xml:space="preserve">Reporting:</w:t>
      </w:r>
      <w:r>
        <w:rPr>
          <w:rFonts w:ascii="Arial" w:cs="Arial" w:eastAsia="Arial" w:hAnsi="Arial"/>
          <w:color w:val="1A1A1A"/>
        </w:rPr>
        <w:t xml:space="preserve"> a weekly status report shows milestone forecast vs baseline, the dependency register and RAID. A monthly Steering Committee reviews the critical path.</w:t>
      </w:r>
    </w:p>
    <w:p>
      <w:pPr>
        <w:pStyle w:val="ListParagraph"/>
        <w:numPr>
          <w:ilvl w:val="0"/>
          <w:numId w:val="2"/>
        </w:numPr>
        <w:spacing w:after="60" w:line="264"/>
      </w:pPr>
      <w:r>
        <w:rPr>
          <w:rFonts w:ascii="Arial" w:cs="Arial" w:eastAsia="Arial" w:hAnsi="Arial"/>
          <w:b/>
          <w:bCs/>
          <w:color w:val="1A1A1A"/>
        </w:rPr>
        <w:t xml:space="preserve">Tooling:</w:t>
      </w:r>
      <w:r>
        <w:rPr>
          <w:rFonts w:ascii="Arial" w:cs="Arial" w:eastAsia="Arial" w:hAnsi="Arial"/>
          <w:color w:val="1A1A1A"/>
        </w:rPr>
        <w:t xml:space="preserve"> stories, test cases and acceptance criteria live in SportSeek's chosen tool (JIRA or Trello, SOW 13), and this schedule is kept in step with it.</w:t>
      </w:r>
    </w:p>
    <w:p>
      <w:pPr>
        <w:pStyle w:val="Heading1"/>
        <w:pageBreakBefore/>
      </w:pPr>
      <w:r>
        <w:t xml:space="preserve">Appendix A. SOW-to-WBS traceability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4337"/>
        <w:gridCol w:w="2217"/>
      </w:tblGrid>
      <w:tr>
        <w:trPr>
          <w:cantSplit/>
          <w:tblHeader/>
        </w:trPr>
        <w:tc>
          <w:tcPr>
            <w:tcW w:type="dxa" w:w="3084"/>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SOW reference</w:t>
            </w:r>
          </w:p>
        </w:tc>
        <w:tc>
          <w:tcPr>
            <w:tcW w:type="dxa" w:w="433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Requirement</w:t>
            </w:r>
          </w:p>
        </w:tc>
        <w:tc>
          <w:tcPr>
            <w:tcW w:type="dxa" w:w="2217"/>
            <w:tcBorders>
              <w:top w:val="single" w:color="C9CED8" w:sz="4"/>
              <w:left w:val="single" w:color="C9CED8" w:sz="4"/>
              <w:bottom w:val="single" w:color="C9CED8" w:sz="4"/>
              <w:right w:val="single" w:color="C9CED8" w:sz="4"/>
            </w:tcBorders>
            <w:shd w:fill="1F3864" w:color="auto" w:val="clear"/>
            <w:tcMar>
              <w:top w:type="dxa" w:w="60"/>
              <w:left w:type="dxa" w:w="90"/>
              <w:bottom w:type="dxa" w:w="60"/>
              <w:right w:type="dxa" w:w="90"/>
            </w:tcMar>
            <w:vAlign w:val="top"/>
          </w:tcPr>
          <w:p>
            <w:pPr>
              <w:spacing w:after="20" w:line="250"/>
            </w:pPr>
            <w:r>
              <w:rPr>
                <w:rFonts w:ascii="Arial" w:cs="Arial" w:eastAsia="Arial" w:hAnsi="Arial"/>
                <w:b/>
                <w:bCs/>
                <w:color w:val="FFFFFF"/>
                <w:sz w:val="17"/>
                <w:szCs w:val="17"/>
              </w:rPr>
              <w:t xml:space="preserve">WBS</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Shared Identity; 7; 9.1</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Unified accounts, account linking, roles, KYC reuse</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5.1–5.9</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Transaction Ledger; 8; 9.2</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Ledger dashboard, statements, refund status, partner view</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11.1–11.7</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Booking/Events; 9.3</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Harden Phase 1; cancellation, waitlist, edit alerts, data model, import tools</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2.4, 8.1–8.7</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Partner &amp; Service; 9.4</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Generalised service types, admin configuration</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7.1–7.8</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Notification; 10</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Push, WhatsApp, Email; alert catalog</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6.1–6.7</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3.1 Web application</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Web app for all existing functionality</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12.1–12.7</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6.2 NFRs</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Security, performance, availability, DPDP, environments, observability</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2.5, 2.6, 4.x, 10.1, 13.1</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12.1 M1</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Foundation setup</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2.3, 4.1–4.6</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12.2 KT</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KT after every milestone with checklist</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2.16, 9.5, 10.5, 13.6</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 Deliverables</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Code, HLD/LLD, stories/tests, API docs, ERD, architecture, UI files, test suite, CI/CD, runbook, user docs, KT</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3.4, 3.6, 3.10, 4.2, 13.7, all build WPs</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14 Acceptance</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Technical and functional acceptance</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9.1–9.3, 10.1–10.3, 13.1–13.3, 13.9</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15.1 Infra transition</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Operate-then-handoff runbook and plan</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13.7</w:t>
            </w:r>
          </w:p>
        </w:tc>
      </w:tr>
      <w:tr>
        <w:trPr>
          <w:cantSplit/>
        </w:trPr>
        <w:tc>
          <w:tcPr>
            <w:tcW w:type="dxa" w:w="3084"/>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16 Warranty &amp; support</w:t>
            </w:r>
          </w:p>
        </w:tc>
        <w:tc>
          <w:tcPr>
            <w:tcW w:type="dxa" w:w="433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90-day warranty per milestone; Phase 1 support</w:t>
            </w:r>
          </w:p>
        </w:tc>
        <w:tc>
          <w:tcPr>
            <w:tcW w:type="dxa" w:w="2217"/>
            <w:tcBorders>
              <w:top w:val="single" w:color="C9CED8" w:sz="4"/>
              <w:left w:val="single" w:color="C9CED8" w:sz="4"/>
              <w:bottom w:val="single" w:color="C9CED8" w:sz="4"/>
              <w:right w:val="single" w:color="C9CED8" w:sz="4"/>
            </w:tcBorders>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9.6, 10.6, 13.8, 14.1, 14.2</w:t>
            </w:r>
          </w:p>
        </w:tc>
      </w:tr>
      <w:tr>
        <w:trPr>
          <w:cantSplit/>
        </w:trPr>
        <w:tc>
          <w:tcPr>
            <w:tcW w:type="dxa" w:w="3084"/>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18 Change management</w:t>
            </w:r>
          </w:p>
        </w:tc>
        <w:tc>
          <w:tcPr>
            <w:tcW w:type="dxa" w:w="433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Change process</w:t>
            </w:r>
          </w:p>
        </w:tc>
        <w:tc>
          <w:tcPr>
            <w:tcW w:type="dxa" w:w="2217"/>
            <w:tcBorders>
              <w:top w:val="single" w:color="C9CED8" w:sz="4"/>
              <w:left w:val="single" w:color="C9CED8" w:sz="4"/>
              <w:bottom w:val="single" w:color="C9CED8" w:sz="4"/>
              <w:right w:val="single" w:color="C9CED8" w:sz="4"/>
            </w:tcBorders>
            <w:shd w:fill="F3F5F9" w:color="auto" w:val="clear"/>
            <w:tcMar>
              <w:top w:type="dxa" w:w="60"/>
              <w:left w:type="dxa" w:w="90"/>
              <w:bottom w:type="dxa" w:w="60"/>
              <w:right w:type="dxa" w:w="90"/>
            </w:tcMar>
            <w:vAlign w:val="top"/>
          </w:tcPr>
          <w:p>
            <w:pPr>
              <w:spacing w:after="20" w:line="250"/>
            </w:pPr>
            <w:r>
              <w:rPr>
                <w:rFonts w:ascii="Arial" w:cs="Arial" w:eastAsia="Arial" w:hAnsi="Arial"/>
                <w:color w:val="1A1A1A"/>
                <w:sz w:val="17"/>
                <w:szCs w:val="17"/>
              </w:rPr>
              <w:t xml:space="preserve">1.5</w:t>
            </w:r>
          </w:p>
        </w:tc>
      </w:tr>
    </w:tbl>
    <w:p>
      <w:pPr>
        <w:spacing w:after="140"/>
      </w:pPr>
    </w:p>
    <w:sectPr>
      <w:headerReference w:type="default" r:id="rId27"/>
      <w:headerReference w:type="first" r:id="rId28"/>
      <w:footerReference w:type="default" r:id="rId29"/>
      <w:footerReference w:type="first" r:id="rId30"/>
      <w:pgSz w:w="11906" w:h="16838" w:orient="portrait"/>
      <w:pgMar w:top="1134" w:right="1134" w:bottom="1134" w:left="1134" w:header="560" w:footer="56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6"/>
        <w:szCs w:val="16"/>
      </w:rPr>
      <w:t xml:space="preserve">Srivin Platforms  ·  Confidential  ·  Page </w:t>
    </w:r>
    <w:r>
      <w:rPr>
        <w:rFonts w:ascii="Arial" w:cs="Arial" w:eastAsia="Arial" w:hAnsi="Arial"/>
        <w:color w:val="5A5A5A"/>
        <w:sz w:val="16"/>
        <w:szCs w:val="16"/>
      </w:rPr>
      <w:fldChar w:fldCharType="begin"/>
      <w:instrText xml:space="preserve">PAGE</w:instrText>
      <w:fldChar w:fldCharType="separate"/>
      <w:fldChar w:fldCharType="end"/>
    </w:r>
    <w:r>
      <w:rPr>
        <w:rFonts w:ascii="Arial" w:cs="Arial" w:eastAsia="Arial" w:hAnsi="Arial"/>
        <w:color w:val="5A5A5A"/>
        <w:sz w:val="16"/>
        <w:szCs w:val="16"/>
      </w:rPr>
      <w:t xml:space="preserve"> of </w:t>
    </w:r>
    <w:r>
      <w:rPr>
        <w:rFonts w:ascii="Arial" w:cs="Arial" w:eastAsia="Arial" w:hAnsi="Arial"/>
        <w:color w:val="5A5A5A"/>
        <w:sz w:val="16"/>
        <w:szCs w:val="16"/>
      </w:rPr>
      <w:fldChar w:fldCharType="begin"/>
      <w:instrText xml:space="preserve">NUMPAGES</w:instrText>
      <w:fldChar w:fldCharType="separate"/>
      <w:fldChar w:fldCharType="end"/>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ED8" w:sz="4" w:space="4"/>
      </w:pBdr>
      <w:jc w:val="right"/>
    </w:pPr>
    <w:r>
      <w:rPr>
        <w:rFonts w:ascii="Arial" w:cs="Arial" w:eastAsia="Arial" w:hAnsi="Arial"/>
        <w:color w:val="5A5A5A"/>
        <w:sz w:val="16"/>
        <w:szCs w:val="16"/>
      </w:rPr>
      <w:t xml:space="preserve">SportSeek Phase 2A  |  WBS &amp; Integrated Project Plan</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abstractNum w:abstractNumId="8"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60"/>
      <w:outlineLvl w:val="1"/>
    </w:pPr>
    <w:rPr>
      <w:rFonts w:ascii="Arial" w:cs="Arial" w:eastAsia="Arial" w:hAnsi="Arial"/>
      <w:b/>
      <w:bCs/>
      <w:color w:val="0F6E7A"/>
      <w:sz w:val="25"/>
      <w:szCs w:val="25"/>
    </w:rPr>
  </w:style>
  <w:style w:type="paragraph" w:styleId="Heading3">
    <w:name w:val="Heading 3"/>
    <w:basedOn w:val="Normal"/>
    <w:next w:val="Normal"/>
    <w:qFormat/>
    <w:pPr>
      <w:spacing w:after="80" w:before="180"/>
      <w:outlineLvl w:val="2"/>
    </w:pPr>
    <w:rPr>
      <w:rFonts w:ascii="Arial" w:cs="Arial" w:eastAsia="Arial" w:hAnsi="Arial"/>
      <w:b/>
      <w:bCs/>
      <w:color w:val="1F3864"/>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footer" Target="footer3.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header" Target="header10.xml"/><Relationship Id="rId25" Type="http://schemas.openxmlformats.org/officeDocument/2006/relationships/footer" Target="footer9.xml"/><Relationship Id="rId26" Type="http://schemas.openxmlformats.org/officeDocument/2006/relationships/footer" Target="footer10.xml"/><Relationship Id="rId27" Type="http://schemas.openxmlformats.org/officeDocument/2006/relationships/header" Target="header11.xml"/><Relationship Id="rId28" Type="http://schemas.openxmlformats.org/officeDocument/2006/relationships/header" Target="header12.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image" Target="media/c15a5295df487aa7f36418af106e3b5b78e1fe41.png"/><Relationship Id="rId32" Type="http://schemas.openxmlformats.org/officeDocument/2006/relationships/image" Target="media/d4b4d71c611cf1df03dc11b7bf96ffd46aec34d3.png"/><Relationship Id="rId33" Type="http://schemas.openxmlformats.org/officeDocument/2006/relationships/image" Target="media/5f77ba6e2254e5900ecbfd40f61d7115ec9d407f.png"/><Relationship Id="rId34" Type="http://schemas.openxmlformats.org/officeDocument/2006/relationships/image" Target="media/c8f287c45d46568597b921bc3bc48d3574756294.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
</file>

<file path=word/_rels/header7.xml.rels><?xml version="1.0" encoding="UTF-8"?><Relationships xmlns="http://schemas.openxmlformats.org/package/2006/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
</file>

<file path=word/_rels/header10.xml.rels><?xml version="1.0" encoding="UTF-8"?><Relationships xmlns="http://schemas.openxmlformats.org/package/2006/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SportSeek Phase 2A — WBS &amp; Integrated Project Plan</dc:title>
  <dc:creator>Srivin Platforms</dc:creator>
  <dc:description>WBS, schedule and dependencies</dc:description>
  <cp:lastModifiedBy>Un-named</cp:lastModifiedBy>
  <cp:revision>1</cp:revision>
  <dcterms:created xsi:type="dcterms:W3CDTF">2026-09-27T01:47:23.861Z</dcterms:created>
  <dcterms:modified xsi:type="dcterms:W3CDTF">2026-09-27T01:47:23.861Z</dcterms:modified>
</cp:coreProperties>
</file>

<file path=docProps/custom.xml><?xml version="1.0" encoding="utf-8"?>
<Properties xmlns="http://schemas.openxmlformats.org/officeDocument/2006/custom-properties" xmlns:vt="http://schemas.openxmlformats.org/officeDocument/2006/docPropsVTypes"/>
</file>