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6E7A" w:sz="18" w:space="6"/>
        </w:pBdr>
        <w:spacing w:after="40"/>
      </w:pPr>
      <w:r>
        <w:rPr>
          <w:rFonts w:ascii="Arial" w:cs="Arial" w:eastAsia="Arial" w:hAnsi="Arial"/>
          <w:b/>
          <w:bCs/>
          <w:color w:val="1F3864"/>
          <w:spacing w:val="60"/>
          <w:sz w:val="30"/>
          <w:szCs w:val="30"/>
        </w:rPr>
        <w:t xml:space="preserve">SRIVIN PLATFORMS</w:t>
      </w:r>
    </w:p>
    <w:p>
      <w:pPr>
        <w:spacing w:after="1800"/>
      </w:pPr>
      <w:r>
        <w:rPr>
          <w:rFonts w:ascii="Arial" w:cs="Arial" w:eastAsia="Arial" w:hAnsi="Arial"/>
          <w:b w:val="false"/>
          <w:bCs w:val="false"/>
          <w:color w:val="5A5A5A"/>
          <w:sz w:val="18"/>
          <w:szCs w:val="18"/>
        </w:rPr>
        <w:t xml:space="preserve">Delivery partner to RacingAhead / SportSeek</w:t>
      </w:r>
    </w:p>
    <w:p>
      <w:pPr>
        <w:spacing w:after="120"/>
      </w:pPr>
      <w:r>
        <w:rPr>
          <w:rFonts w:ascii="Arial" w:cs="Arial" w:eastAsia="Arial" w:hAnsi="Arial"/>
          <w:b/>
          <w:bCs/>
          <w:color w:val="0F6E7A"/>
          <w:sz w:val="24"/>
          <w:szCs w:val="24"/>
        </w:rPr>
        <w:t xml:space="preserve">SportSeek — Unified Sports Ecosystem Platform</w:t>
      </w:r>
    </w:p>
    <w:p>
      <w:pPr>
        <w:spacing w:after="160"/>
      </w:pPr>
      <w:r>
        <w:rPr>
          <w:rFonts w:ascii="Arial" w:cs="Arial" w:eastAsia="Arial" w:hAnsi="Arial"/>
          <w:b/>
          <w:bCs/>
          <w:color w:val="1F3864"/>
          <w:sz w:val="52"/>
          <w:szCs w:val="52"/>
        </w:rPr>
        <w:t xml:space="preserve">Technical Approach</w:t>
      </w:r>
    </w:p>
    <w:p>
      <w:pPr>
        <w:spacing w:after="900"/>
      </w:pPr>
      <w:r>
        <w:rPr>
          <w:rFonts w:ascii="Arial" w:cs="Arial" w:eastAsia="Arial" w:hAnsi="Arial"/>
          <w:b w:val="false"/>
          <w:bCs w:val="false"/>
          <w:color w:val="1A1A1A"/>
          <w:sz w:val="26"/>
          <w:szCs w:val="26"/>
        </w:rPr>
        <w:t xml:space="preserve">How Srivin Platforms will engineer SportSeek Phase 2A: a unified, compliant and scalable sports platform built on what is already 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Document control</w:t>
            </w:r>
          </w:p>
        </w:tc>
        <w:tc>
          <w:tcPr>
            <w:tcW w:type="dxa" w:w="674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Document</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SRV-SPS-2A-TAD-003</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Programme</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SportSeek Phase 2 — Phase 2A (Harden &amp; Unify)</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Client</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RacingAhead / SportSeek, Hyderabad</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Prepared by</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Srivin Platforms — Technical Programme Management Office</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Version / date</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v1.0 — 27 September 2026</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Status</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Issued for client review</w:t>
            </w:r>
          </w:p>
        </w:tc>
      </w:tr>
      <w:tr>
        <w:trPr>
          <w:cantSplit/>
        </w:trPr>
        <w:tc>
          <w:tcPr>
            <w:tcW w:type="dxa" w:w="289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Reference baseline</w:t>
            </w:r>
          </w:p>
        </w:tc>
        <w:tc>
          <w:tcPr>
            <w:tcW w:type="dxa" w:w="674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SportSeek Phase 2 SOW v1.0 (15 Jul 2026); SportsSeek App High Level Requirements</w:t>
            </w:r>
          </w:p>
        </w:tc>
      </w:tr>
      <w:tr>
        <w:trPr>
          <w:cantSplit/>
        </w:trPr>
        <w:tc>
          <w:tcPr>
            <w:tcW w:type="dxa" w:w="289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bCs/>
                <w:color w:val="1A1A1A"/>
                <w:sz w:val="18"/>
                <w:szCs w:val="18"/>
              </w:rPr>
              <w:t xml:space="preserve">Classification</w:t>
            </w:r>
          </w:p>
        </w:tc>
        <w:tc>
          <w:tcPr>
            <w:tcW w:type="dxa" w:w="674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b w:val="false"/>
                <w:bCs w:val="false"/>
                <w:color w:val="1A1A1A"/>
                <w:sz w:val="18"/>
                <w:szCs w:val="18"/>
              </w:rPr>
              <w:t xml:space="preserve">Confidential — RacingAhead / SportSeek and Srivin Platforms only</w:t>
            </w:r>
          </w:p>
        </w:tc>
      </w:tr>
    </w:tbl>
    <w:p>
      <w:pPr>
        <w:spacing w:after="140"/>
      </w:pPr>
    </w:p>
    <w:p>
      <w:pPr>
        <w:sectPr>
          <w:headerReference w:type="default" r:id="rId7"/>
          <w:headerReference w:type="first" r:id="rId8"/>
          <w:footerReference w:type="default" r:id="rId9"/>
          <w:footerReference w:type="first" r:id="rId10"/>
          <w:pgSz w:w="11906" w:h="16838" w:orient="portrait"/>
          <w:pgMar w:top="1134" w:right="1134" w:bottom="1134" w:left="1134" w:header="560" w:footer="560" w:gutter="0"/>
          <w:pgNumType/>
          <w:titlePg/>
          <w:docGrid w:linePitch="360"/>
        </w:sectPr>
      </w:pPr>
    </w:p>
    <w:p>
      <w:pPr>
        <w:spacing w:after="200" w:before="0"/>
      </w:pPr>
      <w:r>
        <w:rPr>
          <w:rFonts w:ascii="Arial" w:cs="Arial" w:eastAsia="Arial" w:hAnsi="Arial"/>
          <w:b/>
          <w:bCs/>
          <w:color w:val="1F3864"/>
          <w:sz w:val="32"/>
          <w:szCs w:val="32"/>
        </w:rPr>
        <w:t xml:space="preserve">Contents</w:t>
      </w:r>
    </w:p>
    <w:p>
      <w:pPr>
        <w:pBdr>
          <w:bottom w:val="dotted" w:color="D5D8DE" w:sz="4" w:space="3"/>
        </w:pBdr>
        <w:spacing w:after="90"/>
      </w:pPr>
      <w:r>
        <w:rPr>
          <w:rFonts w:ascii="Arial" w:cs="Arial" w:eastAsia="Arial" w:hAnsi="Arial"/>
          <w:color w:val="1A1A1A"/>
          <w:sz w:val="21"/>
          <w:szCs w:val="21"/>
        </w:rPr>
        <w:t xml:space="preserve">1. Executive summary</w:t>
      </w:r>
    </w:p>
    <w:p>
      <w:pPr>
        <w:pBdr>
          <w:bottom w:val="dotted" w:color="D5D8DE" w:sz="4" w:space="3"/>
        </w:pBdr>
        <w:spacing w:after="90"/>
      </w:pPr>
      <w:r>
        <w:rPr>
          <w:rFonts w:ascii="Arial" w:cs="Arial" w:eastAsia="Arial" w:hAnsi="Arial"/>
          <w:color w:val="1A1A1A"/>
          <w:sz w:val="21"/>
          <w:szCs w:val="21"/>
        </w:rPr>
        <w:t xml:space="preserve">2. The problem, technically</w:t>
      </w:r>
    </w:p>
    <w:p>
      <w:pPr>
        <w:pBdr>
          <w:bottom w:val="dotted" w:color="D5D8DE" w:sz="4" w:space="3"/>
        </w:pBdr>
        <w:spacing w:after="90"/>
      </w:pPr>
      <w:r>
        <w:rPr>
          <w:rFonts w:ascii="Arial" w:cs="Arial" w:eastAsia="Arial" w:hAnsi="Arial"/>
          <w:color w:val="1A1A1A"/>
          <w:sz w:val="21"/>
          <w:szCs w:val="21"/>
        </w:rPr>
        <w:t xml:space="preserve">3. Architecture principles</w:t>
      </w:r>
    </w:p>
    <w:p>
      <w:pPr>
        <w:pBdr>
          <w:bottom w:val="dotted" w:color="D5D8DE" w:sz="4" w:space="3"/>
        </w:pBdr>
        <w:spacing w:after="90"/>
      </w:pPr>
      <w:r>
        <w:rPr>
          <w:rFonts w:ascii="Arial" w:cs="Arial" w:eastAsia="Arial" w:hAnsi="Arial"/>
          <w:color w:val="1A1A1A"/>
          <w:sz w:val="21"/>
          <w:szCs w:val="21"/>
        </w:rPr>
        <w:t xml:space="preserve">4. Starting from what is live: Phase 1 assessment</w:t>
      </w:r>
    </w:p>
    <w:p>
      <w:pPr>
        <w:pBdr>
          <w:bottom w:val="dotted" w:color="D5D8DE" w:sz="4" w:space="3"/>
        </w:pBdr>
        <w:spacing w:after="90"/>
      </w:pPr>
      <w:r>
        <w:rPr>
          <w:rFonts w:ascii="Arial" w:cs="Arial" w:eastAsia="Arial" w:hAnsi="Arial"/>
          <w:color w:val="1A1A1A"/>
          <w:sz w:val="21"/>
          <w:szCs w:val="21"/>
        </w:rPr>
        <w:t xml:space="preserve">5. Target architecture</w:t>
      </w:r>
    </w:p>
    <w:p>
      <w:pPr>
        <w:pBdr>
          <w:bottom w:val="dotted" w:color="D5D8DE" w:sz="4" w:space="3"/>
        </w:pBdr>
        <w:spacing w:after="90"/>
      </w:pPr>
      <w:r>
        <w:rPr>
          <w:rFonts w:ascii="Arial" w:cs="Arial" w:eastAsia="Arial" w:hAnsi="Arial"/>
          <w:color w:val="1A1A1A"/>
          <w:sz w:val="21"/>
          <w:szCs w:val="21"/>
        </w:rPr>
        <w:t xml:space="preserve">6. Module-by-module technical approach</w:t>
      </w:r>
    </w:p>
    <w:p>
      <w:pPr>
        <w:pBdr>
          <w:bottom w:val="dotted" w:color="D5D8DE" w:sz="4" w:space="3"/>
        </w:pBdr>
        <w:spacing w:after="90"/>
      </w:pPr>
      <w:r>
        <w:rPr>
          <w:rFonts w:ascii="Arial" w:cs="Arial" w:eastAsia="Arial" w:hAnsi="Arial"/>
          <w:color w:val="1A1A1A"/>
          <w:sz w:val="21"/>
          <w:szCs w:val="21"/>
        </w:rPr>
        <w:t xml:space="preserve">7. Cross-cutting quality attributes (NFRs)</w:t>
      </w:r>
    </w:p>
    <w:p>
      <w:pPr>
        <w:pBdr>
          <w:bottom w:val="dotted" w:color="D5D8DE" w:sz="4" w:space="3"/>
        </w:pBdr>
        <w:spacing w:after="90"/>
      </w:pPr>
      <w:r>
        <w:rPr>
          <w:rFonts w:ascii="Arial" w:cs="Arial" w:eastAsia="Arial" w:hAnsi="Arial"/>
          <w:color w:val="1A1A1A"/>
          <w:sz w:val="21"/>
          <w:szCs w:val="21"/>
        </w:rPr>
        <w:t xml:space="preserve">8. Engineering practices and standards</w:t>
      </w:r>
    </w:p>
    <w:p>
      <w:pPr>
        <w:pBdr>
          <w:bottom w:val="dotted" w:color="D5D8DE" w:sz="4" w:space="3"/>
        </w:pBdr>
        <w:spacing w:after="90"/>
      </w:pPr>
      <w:r>
        <w:rPr>
          <w:rFonts w:ascii="Arial" w:cs="Arial" w:eastAsia="Arial" w:hAnsi="Arial"/>
          <w:color w:val="1A1A1A"/>
          <w:sz w:val="21"/>
          <w:szCs w:val="21"/>
        </w:rPr>
        <w:t xml:space="preserve">9. Technical plan for the 20 October 2026 launch</w:t>
      </w:r>
    </w:p>
    <w:p>
      <w:pPr>
        <w:pBdr>
          <w:bottom w:val="dotted" w:color="D5D8DE" w:sz="4" w:space="3"/>
        </w:pBdr>
        <w:spacing w:after="90"/>
      </w:pPr>
      <w:r>
        <w:rPr>
          <w:rFonts w:ascii="Arial" w:cs="Arial" w:eastAsia="Arial" w:hAnsi="Arial"/>
          <w:color w:val="1A1A1A"/>
          <w:sz w:val="21"/>
          <w:szCs w:val="21"/>
        </w:rPr>
        <w:t xml:space="preserve">10. Data migration approach</w:t>
      </w:r>
    </w:p>
    <w:p>
      <w:pPr>
        <w:pBdr>
          <w:bottom w:val="dotted" w:color="D5D8DE" w:sz="4" w:space="3"/>
        </w:pBdr>
        <w:spacing w:after="90"/>
      </w:pPr>
      <w:r>
        <w:rPr>
          <w:rFonts w:ascii="Arial" w:cs="Arial" w:eastAsia="Arial" w:hAnsi="Arial"/>
          <w:color w:val="1A1A1A"/>
          <w:sz w:val="21"/>
          <w:szCs w:val="21"/>
        </w:rPr>
        <w:t xml:space="preserve">11. Key technical decisions (ADR backlog)</w:t>
      </w:r>
    </w:p>
    <w:p>
      <w:pPr>
        <w:pBdr>
          <w:bottom w:val="dotted" w:color="D5D8DE" w:sz="4" w:space="3"/>
        </w:pBdr>
        <w:spacing w:after="90"/>
      </w:pPr>
      <w:r>
        <w:rPr>
          <w:rFonts w:ascii="Arial" w:cs="Arial" w:eastAsia="Arial" w:hAnsi="Arial"/>
          <w:color w:val="1A1A1A"/>
          <w:sz w:val="21"/>
          <w:szCs w:val="21"/>
        </w:rPr>
        <w:t xml:space="preserve">12. Technical risks and mitigations</w:t>
      </w:r>
    </w:p>
    <w:p>
      <w:pPr>
        <w:pBdr>
          <w:bottom w:val="dotted" w:color="D5D8DE" w:sz="4" w:space="3"/>
        </w:pBdr>
        <w:spacing w:after="90"/>
      </w:pPr>
      <w:r>
        <w:rPr>
          <w:rFonts w:ascii="Arial" w:cs="Arial" w:eastAsia="Arial" w:hAnsi="Arial"/>
          <w:color w:val="1A1A1A"/>
          <w:sz w:val="21"/>
          <w:szCs w:val="21"/>
        </w:rPr>
        <w:t xml:space="preserve">13. Why Srivin Platforms</w:t>
      </w:r>
    </w:p>
    <w:p>
      <w:pPr>
        <w:pBdr>
          <w:bottom w:val="dotted" w:color="D5D8DE" w:sz="4" w:space="3"/>
        </w:pBdr>
        <w:spacing w:after="90"/>
      </w:pPr>
      <w:r>
        <w:rPr>
          <w:rFonts w:ascii="Arial" w:cs="Arial" w:eastAsia="Arial" w:hAnsi="Arial"/>
          <w:color w:val="1A1A1A"/>
          <w:sz w:val="21"/>
          <w:szCs w:val="21"/>
        </w:rPr>
        <w:t xml:space="preserve">Appendix A. Glossary</w:t>
      </w:r>
    </w:p>
    <w:p>
      <w:pPr>
        <w:pStyle w:val="Heading1"/>
        <w:pageBreakBefore/>
      </w:pPr>
      <w:r>
        <w:t xml:space="preserve">1. Executive summary</w:t>
      </w:r>
    </w:p>
    <w:p>
      <w:pPr>
        <w:spacing w:after="120" w:line="276"/>
      </w:pPr>
      <w:r>
        <w:rPr>
          <w:rFonts w:ascii="Arial" w:cs="Arial" w:eastAsia="Arial" w:hAnsi="Arial"/>
          <w:color w:val="1A1A1A"/>
        </w:rPr>
        <w:t xml:space="preserve">SportSeek has something most platforms at this stage do not: a live product with real users, partners and payments. Phase 2A is not a greenfield build. It is a careful re-foundation of a running system. SportSeek must go from "facility booking with separate app accounts" to "one identity, one partner model, one transaction view" without breaking the journeys users rely on today, and while going public on 20 October 2026.</w:t>
      </w:r>
    </w:p>
    <w:p>
      <w:pPr>
        <w:spacing w:after="120" w:line="276"/>
      </w:pPr>
      <w:r>
        <w:rPr>
          <w:rFonts w:ascii="Arial" w:cs="Arial" w:eastAsia="Arial" w:hAnsi="Arial"/>
          <w:color w:val="1A1A1A"/>
        </w:rPr>
        <w:t xml:space="preserve">Our technical approach is built around that reality:</w:t>
      </w:r>
    </w:p>
    <w:p>
      <w:pPr>
        <w:pStyle w:val="ListParagraph"/>
        <w:numPr>
          <w:ilvl w:val="0"/>
          <w:numId w:val="2"/>
        </w:numPr>
        <w:spacing w:after="60" w:line="264"/>
      </w:pPr>
      <w:r>
        <w:rPr>
          <w:rFonts w:ascii="Arial" w:cs="Arial" w:eastAsia="Arial" w:hAnsi="Arial"/>
          <w:b/>
          <w:bCs/>
          <w:color w:val="1A1A1A"/>
        </w:rPr>
        <w:t xml:space="preserve">Harden, then unify, then extend.</w:t>
      </w:r>
      <w:r>
        <w:rPr>
          <w:rFonts w:ascii="Arial" w:cs="Arial" w:eastAsia="Arial" w:hAnsi="Arial"/>
          <w:color w:val="1A1A1A"/>
        </w:rPr>
        <w:t xml:space="preserve"> We make the live product safe for public traffic first (Release 2A.0, 20 Oct 2026). We then build the shared foundations every later module depends on, starting with Identity. Only then do we generalise partners, harden bookings, add the Ledger and complete the web application.</w:t>
      </w:r>
    </w:p>
    <w:p>
      <w:pPr>
        <w:pStyle w:val="ListParagraph"/>
        <w:numPr>
          <w:ilvl w:val="0"/>
          <w:numId w:val="2"/>
        </w:numPr>
        <w:spacing w:after="60" w:line="264"/>
      </w:pPr>
      <w:r>
        <w:rPr>
          <w:rFonts w:ascii="Arial" w:cs="Arial" w:eastAsia="Arial" w:hAnsi="Arial"/>
          <w:b/>
          <w:bCs/>
          <w:color w:val="1A1A1A"/>
        </w:rPr>
        <w:t xml:space="preserve">A .NET modular monolith with hard domain boundaries</w:t>
      </w:r>
      <w:r>
        <w:rPr>
          <w:rFonts w:ascii="Arial" w:cs="Arial" w:eastAsia="Arial" w:hAnsi="Arial"/>
          <w:color w:val="1A1A1A"/>
        </w:rPr>
        <w:t xml:space="preserve"> on PostgreSQL, extending SportSeek's confirmed React Native / .NET / PostgreSQL stack, as the SOW recommends (SOW §6). A small team moves fast in a single deployable, while each domain has its own schema, public interface and events. Any domain can be extracted into a service later without a rewrite.</w:t>
      </w:r>
    </w:p>
    <w:p>
      <w:pPr>
        <w:pStyle w:val="ListParagraph"/>
        <w:numPr>
          <w:ilvl w:val="0"/>
          <w:numId w:val="2"/>
        </w:numPr>
        <w:spacing w:after="60" w:line="264"/>
      </w:pPr>
      <w:r>
        <w:rPr>
          <w:rFonts w:ascii="Arial" w:cs="Arial" w:eastAsia="Arial" w:hAnsi="Arial"/>
          <w:b/>
          <w:bCs/>
          <w:color w:val="1A1A1A"/>
        </w:rPr>
        <w:t xml:space="preserve">Identity designed against the one failure that matters</w:t>
      </w:r>
      <w:r>
        <w:rPr>
          <w:rFonts w:ascii="Arial" w:cs="Arial" w:eastAsia="Arial" w:hAnsi="Arial"/>
          <w:color w:val="1A1A1A"/>
        </w:rPr>
        <w:t xml:space="preserve">: duplicate accounts across the User and Partner apps (SOW §7.3). Account linking is verified by OTP ownership proof, existing duplicates are reconciled with rules SportSeek approves, and the linking behaviour is an automated acceptance test.</w:t>
      </w:r>
    </w:p>
    <w:p>
      <w:pPr>
        <w:pStyle w:val="ListParagraph"/>
        <w:numPr>
          <w:ilvl w:val="0"/>
          <w:numId w:val="2"/>
        </w:numPr>
        <w:spacing w:after="60" w:line="264"/>
      </w:pPr>
      <w:r>
        <w:rPr>
          <w:rFonts w:ascii="Arial" w:cs="Arial" w:eastAsia="Arial" w:hAnsi="Arial"/>
          <w:b/>
          <w:bCs/>
          <w:color w:val="1A1A1A"/>
        </w:rPr>
        <w:t xml:space="preserve">Payments stay gateway-native.</w:t>
      </w:r>
      <w:r>
        <w:rPr>
          <w:rFonts w:ascii="Arial" w:cs="Arial" w:eastAsia="Arial" w:hAnsi="Arial"/>
          <w:color w:val="1A1A1A"/>
        </w:rPr>
        <w:t xml:space="preserve"> The Transaction Ledger is a read model reconciled against Razorpay, and partner payouts use Razorpay Route split settlement, so SportSeek never holds or routes funds (SOW §8.3).</w:t>
      </w:r>
    </w:p>
    <w:p>
      <w:pPr>
        <w:pStyle w:val="ListParagraph"/>
        <w:numPr>
          <w:ilvl w:val="0"/>
          <w:numId w:val="2"/>
        </w:numPr>
        <w:spacing w:after="60" w:line="264"/>
      </w:pPr>
      <w:r>
        <w:rPr>
          <w:rFonts w:ascii="Arial" w:cs="Arial" w:eastAsia="Arial" w:hAnsi="Arial"/>
          <w:b/>
          <w:bCs/>
          <w:color w:val="1A1A1A"/>
        </w:rPr>
        <w:t xml:space="preserve">Configuration, not code, for new partner types.</w:t>
      </w:r>
      <w:r>
        <w:rPr>
          <w:rFonts w:ascii="Arial" w:cs="Arial" w:eastAsia="Arial" w:hAnsi="Arial"/>
          <w:color w:val="1A1A1A"/>
        </w:rPr>
        <w:t xml:space="preserve"> Service types are data, with schemas an admin can enable (SOW §9.4). Phase 2B's expert booking then becomes an extension, not a new system.</w:t>
      </w:r>
    </w:p>
    <w:p>
      <w:pPr>
        <w:pStyle w:val="ListParagraph"/>
        <w:numPr>
          <w:ilvl w:val="0"/>
          <w:numId w:val="2"/>
        </w:numPr>
        <w:spacing w:after="60" w:line="264"/>
      </w:pPr>
      <w:r>
        <w:rPr>
          <w:rFonts w:ascii="Arial" w:cs="Arial" w:eastAsia="Arial" w:hAnsi="Arial"/>
          <w:b/>
          <w:bCs/>
          <w:color w:val="1A1A1A"/>
        </w:rPr>
        <w:t xml:space="preserve">Engineering quality you can inspect.</w:t>
      </w:r>
      <w:r>
        <w:rPr>
          <w:rFonts w:ascii="Arial" w:cs="Arial" w:eastAsia="Arial" w:hAnsi="Arial"/>
          <w:color w:val="1A1A1A"/>
        </w:rPr>
        <w:t xml:space="preserve"> Automated tests, security scans, performance tests and observability are built into the pipeline from the first sprint, all inside SportSeek-owned infrastructure.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EAEFF8" w:color="auto" w:val="clear"/>
            <w:tcMar>
              <w:top w:type="dxa" w:w="110"/>
              <w:left w:type="dxa" w:w="180"/>
              <w:bottom w:type="dxa" w:w="110"/>
              <w:right w:type="dxa" w:w="160"/>
            </w:tcMar>
          </w:tcPr>
          <w:p>
            <w:pPr>
              <w:spacing w:after="60"/>
            </w:pPr>
            <w:r>
              <w:rPr>
                <w:rFonts w:ascii="Arial" w:cs="Arial" w:eastAsia="Arial" w:hAnsi="Arial"/>
                <w:b/>
                <w:bCs/>
                <w:color w:val="1F3864"/>
                <w:sz w:val="20"/>
                <w:szCs w:val="20"/>
              </w:rPr>
              <w:t xml:space="preserve">The outcome for SportSeek</w:t>
            </w:r>
          </w:p>
          <w:p>
            <w:pPr>
              <w:spacing w:after="50" w:line="260"/>
            </w:pPr>
            <w:r>
              <w:rPr>
                <w:rFonts w:ascii="Arial" w:cs="Arial" w:eastAsia="Arial" w:hAnsi="Arial"/>
                <w:color w:val="1A1A1A"/>
                <w:sz w:val="19"/>
                <w:szCs w:val="19"/>
              </w:rPr>
              <w:t xml:space="preserve">A public launch on 20 October 2026 on a product that has been security-tested, load-tested and instrumented. Phase 2A complete on 4 May 2027 in three accepted releases. A codebase, documentation and SportSeek engineering team able to carry Phase 2B and 2C forward.</w:t>
            </w:r>
          </w:p>
        </w:tc>
      </w:tr>
    </w:tbl>
    <w:p>
      <w:pPr>
        <w:spacing w:after="160"/>
      </w:pPr>
    </w:p>
    <w:p>
      <w:pPr>
        <w:pStyle w:val="Heading1"/>
        <w:pageBreakBefore/>
      </w:pPr>
      <w:r>
        <w:t xml:space="preserve">2. The problem, technically</w:t>
      </w:r>
    </w:p>
    <w:p>
      <w:pPr>
        <w:spacing w:after="120" w:line="276"/>
      </w:pPr>
      <w:r>
        <w:rPr>
          <w:rFonts w:ascii="Arial" w:cs="Arial" w:eastAsia="Arial" w:hAnsi="Arial"/>
          <w:color w:val="1A1A1A"/>
        </w:rPr>
        <w:t xml:space="preserve">We read the SOW for the engineering problems underneath the feature list. These six determine whether Phase 2A succeeds: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758"/>
        <w:gridCol w:w="3760"/>
      </w:tblGrid>
      <w:tr>
        <w:trPr>
          <w:cantSplit/>
          <w:tblHeader/>
        </w:trPr>
        <w:tc>
          <w:tcPr>
            <w:tcW w:type="dxa" w:w="212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Challenge</w:t>
            </w:r>
          </w:p>
        </w:tc>
        <w:tc>
          <w:tcPr>
            <w:tcW w:type="dxa" w:w="375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Why it is hard</w:t>
            </w:r>
          </w:p>
        </w:tc>
        <w:tc>
          <w:tcPr>
            <w:tcW w:type="dxa" w:w="376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Our answer (details in Section 6)</w:t>
            </w:r>
          </w:p>
        </w:tc>
      </w:tr>
      <w:tr>
        <w:trPr>
          <w:cantSplit/>
        </w:trPr>
        <w:tc>
          <w:tcPr>
            <w:tcW w:type="dxa" w:w="2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Unifying identity in a live system</w:t>
            </w:r>
          </w:p>
        </w:tc>
        <w:tc>
          <w:tcPr>
            <w:tcW w:type="dxa" w:w="375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Phase 1 users may already have separate records per app. Linking on phone/email alone is an account-takeover risk. Old app versions in the field still call old APIs.</w:t>
            </w:r>
          </w:p>
        </w:tc>
        <w:tc>
          <w:tcPr>
            <w:tcW w:type="dxa" w:w="376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One Identity service with an OIDC client per app; OTP-verified linking; duplicate reconciliation with approved merge rules; versioned APIs and minimum-version enforcement.</w:t>
            </w:r>
          </w:p>
        </w:tc>
      </w:tr>
      <w:tr>
        <w:trPr>
          <w:cantSplit/>
        </w:trPr>
        <w:tc>
          <w:tcPr>
            <w:tcW w:type="dxa" w:w="2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Generalising the partner model without regressions</w:t>
            </w:r>
          </w:p>
        </w:tc>
        <w:tc>
          <w:tcPr>
            <w:tcW w:type="dxa" w:w="375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Facilities are live and bookable. Changing their data model risks breaking bookings and partner payouts.</w:t>
            </w:r>
          </w:p>
        </w:tc>
        <w:tc>
          <w:tcPr>
            <w:tcW w:type="dxa" w:w="376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Shared service core plus type-specific attributes validated by per-type schemas; migrate facilities as the first type behind a feature flag; full facility regression pack.</w:t>
            </w:r>
          </w:p>
        </w:tc>
      </w:tr>
      <w:tr>
        <w:trPr>
          <w:cantSplit/>
        </w:trPr>
        <w:tc>
          <w:tcPr>
            <w:tcW w:type="dxa" w:w="2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 transaction view with no money held</w:t>
            </w:r>
          </w:p>
        </w:tc>
        <w:tc>
          <w:tcPr>
            <w:tcW w:type="dxa" w:w="375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The ledger must match the gateway exactly, stay current, and avoid any design that makes SportSeek a Payment Aggregator.</w:t>
            </w:r>
          </w:p>
        </w:tc>
        <w:tc>
          <w:tcPr>
            <w:tcW w:type="dxa" w:w="376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Read model from Razorpay webhooks plus scheduled reconciliation; the gateway reference is the unique key; Route split settlement; no balances anywhere.</w:t>
            </w:r>
          </w:p>
        </w:tc>
      </w:tr>
      <w:tr>
        <w:trPr>
          <w:cantSplit/>
        </w:trPr>
        <w:tc>
          <w:tcPr>
            <w:tcW w:type="dxa" w:w="2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Hardening bookings under concurrency</w:t>
            </w:r>
          </w:p>
        </w:tc>
        <w:tc>
          <w:tcPr>
            <w:tcW w:type="dxa" w:w="375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Cancellation, refunds and waitlists add state transitions to flows that must never double-book or double-refund.</w:t>
            </w:r>
          </w:p>
        </w:tc>
        <w:tc>
          <w:tcPr>
            <w:tcW w:type="dxa" w:w="376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Database-level overlap constraints, idempotency keys on payment and refund commands, explicit booking state machine, waitlist offers with expiry.</w:t>
            </w:r>
          </w:p>
        </w:tc>
      </w:tr>
      <w:tr>
        <w:trPr>
          <w:cantSplit/>
        </w:trPr>
        <w:tc>
          <w:tcPr>
            <w:tcW w:type="dxa" w:w="2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Multi-channel notifications in India</w:t>
            </w:r>
          </w:p>
        </w:tc>
        <w:tc>
          <w:tcPr>
            <w:tcW w:type="dxa" w:w="375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SMS needs registered DLT templates; WhatsApp needs pre-approved templates and opt-in; Push needs device tokens per app; alerts must respect role scoping.</w:t>
            </w:r>
          </w:p>
        </w:tc>
        <w:tc>
          <w:tcPr>
            <w:tcW w:type="dxa" w:w="376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Event-driven notification service; catalog and templates as managed configuration; per-role preferences; channel fallback; delivery tracking.</w:t>
            </w:r>
          </w:p>
        </w:tc>
      </w:tr>
      <w:tr>
        <w:trPr>
          <w:cantSplit/>
        </w:trPr>
        <w:tc>
          <w:tcPr>
            <w:tcW w:type="dxa" w:w="2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Web parity for everything mobile does</w:t>
            </w:r>
          </w:p>
        </w:tc>
        <w:tc>
          <w:tcPr>
            <w:tcW w:type="dxa" w:w="375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Every Phase 1 journey plus every 2A feature must work on the web, stay consistent with mobile, and not fork business logic.</w:t>
            </w:r>
          </w:p>
        </w:tc>
        <w:tc>
          <w:tcPr>
            <w:tcW w:type="dxa" w:w="376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One API surface through the BFF; shared design system; parity matrix as an acceptance artefact; public event pages built for search visibility.</w:t>
            </w:r>
          </w:p>
        </w:tc>
      </w:tr>
    </w:tbl>
    <w:p>
      <w:pPr>
        <w:spacing w:after="140"/>
      </w:pPr>
    </w:p>
    <w:p>
      <w:pPr>
        <w:pStyle w:val="Heading1"/>
        <w:pageBreakBefore/>
      </w:pPr>
      <w:r>
        <w:t xml:space="preserve">3. Architecture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2505"/>
        <w:gridCol w:w="6652"/>
      </w:tblGrid>
      <w:tr>
        <w:trPr>
          <w:cantSplit/>
          <w:tblHeader/>
        </w:trPr>
        <w:tc>
          <w:tcPr>
            <w:tcW w:type="dxa" w:w="48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t>
            </w:r>
          </w:p>
        </w:tc>
        <w:tc>
          <w:tcPr>
            <w:tcW w:type="dxa" w:w="250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Principle</w:t>
            </w:r>
          </w:p>
        </w:tc>
        <w:tc>
          <w:tcPr>
            <w:tcW w:type="dxa" w:w="665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Consequence for design</w:t>
            </w:r>
          </w:p>
        </w:tc>
      </w:tr>
      <w:tr>
        <w:trPr>
          <w:cantSplit/>
        </w:trPr>
        <w:tc>
          <w:tcPr>
            <w:tcW w:type="dxa" w:w="4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1</w:t>
            </w:r>
          </w:p>
        </w:tc>
        <w:tc>
          <w:tcPr>
            <w:tcW w:type="dxa" w:w="250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Domains own their data</w:t>
            </w:r>
          </w:p>
        </w:tc>
        <w:tc>
          <w:tcPr>
            <w:tcW w:type="dxa" w:w="66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Each domain has its own Postgres schema (SOW §6.1). No cross-schema joins or writes. Other domains use its public module interface or its events.</w:t>
            </w:r>
          </w:p>
        </w:tc>
      </w:tr>
      <w:tr>
        <w:trPr>
          <w:cantSplit/>
        </w:trPr>
        <w:tc>
          <w:tcPr>
            <w:tcW w:type="dxa" w:w="4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2</w:t>
            </w:r>
          </w:p>
        </w:tc>
        <w:tc>
          <w:tcPr>
            <w:tcW w:type="dxa" w:w="250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Events for cross-domain side effects</w:t>
            </w:r>
          </w:p>
        </w:tc>
        <w:tc>
          <w:tcPr>
            <w:tcW w:type="dxa" w:w="66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"Booking confirmed → notify + record analytics" runs through the event bus, not chained synchronous calls (SOW §6.1). Events are published through a transactional outbox so they are never lost or sent for rolled-back work.</w:t>
            </w:r>
          </w:p>
        </w:tc>
      </w:tr>
      <w:tr>
        <w:trPr>
          <w:cantSplit/>
        </w:trPr>
        <w:tc>
          <w:tcPr>
            <w:tcW w:type="dxa" w:w="4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3</w:t>
            </w:r>
          </w:p>
        </w:tc>
        <w:tc>
          <w:tcPr>
            <w:tcW w:type="dxa" w:w="250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The gateway is the system of record for money</w:t>
            </w:r>
          </w:p>
        </w:tc>
        <w:tc>
          <w:tcPr>
            <w:tcW w:type="dxa" w:w="66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SportSeek stores references and states, never balances or card/UPI credentials (SOW §8).</w:t>
            </w:r>
          </w:p>
        </w:tc>
      </w:tr>
      <w:tr>
        <w:trPr>
          <w:cantSplit/>
        </w:trPr>
        <w:tc>
          <w:tcPr>
            <w:tcW w:type="dxa" w:w="4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4</w:t>
            </w:r>
          </w:p>
        </w:tc>
        <w:tc>
          <w:tcPr>
            <w:tcW w:type="dxa" w:w="250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Backward compatibility is a requirement</w:t>
            </w:r>
          </w:p>
        </w:tc>
        <w:tc>
          <w:tcPr>
            <w:tcW w:type="dxa" w:w="66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Old mobile clients in the field keep working until they are moved on with minimum-version enforcement. APIs are versioned and database migrations are expand-then-contract.</w:t>
            </w:r>
          </w:p>
        </w:tc>
      </w:tr>
      <w:tr>
        <w:trPr>
          <w:cantSplit/>
        </w:trPr>
        <w:tc>
          <w:tcPr>
            <w:tcW w:type="dxa" w:w="4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5</w:t>
            </w:r>
          </w:p>
        </w:tc>
        <w:tc>
          <w:tcPr>
            <w:tcW w:type="dxa" w:w="250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Configuration over code for variability</w:t>
            </w:r>
          </w:p>
        </w:tc>
        <w:tc>
          <w:tcPr>
            <w:tcW w:type="dxa" w:w="66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Service types, alert catalog, templates, refund rules and feature flags are data managed from admin tooling.</w:t>
            </w:r>
          </w:p>
        </w:tc>
      </w:tr>
      <w:tr>
        <w:trPr>
          <w:cantSplit/>
        </w:trPr>
        <w:tc>
          <w:tcPr>
            <w:tcW w:type="dxa" w:w="4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6</w:t>
            </w:r>
          </w:p>
        </w:tc>
        <w:tc>
          <w:tcPr>
            <w:tcW w:type="dxa" w:w="250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Secure and private by default</w:t>
            </w:r>
          </w:p>
        </w:tc>
        <w:tc>
          <w:tcPr>
            <w:tcW w:type="dxa" w:w="66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OWASP-aligned controls, least privilege, encryption in transit and at rest, and DPDP-aligned data handling (SOW §6.2).</w:t>
            </w:r>
          </w:p>
        </w:tc>
      </w:tr>
      <w:tr>
        <w:trPr>
          <w:cantSplit/>
        </w:trPr>
        <w:tc>
          <w:tcPr>
            <w:tcW w:type="dxa" w:w="48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7</w:t>
            </w:r>
          </w:p>
        </w:tc>
        <w:tc>
          <w:tcPr>
            <w:tcW w:type="dxa" w:w="250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Observable from day one</w:t>
            </w:r>
          </w:p>
        </w:tc>
        <w:tc>
          <w:tcPr>
            <w:tcW w:type="dxa" w:w="665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Structured logs, metrics, traces and business health signals (e.g. payments captured per minute) exist before a feature is called Done.</w:t>
            </w:r>
          </w:p>
        </w:tc>
      </w:tr>
      <w:tr>
        <w:trPr>
          <w:cantSplit/>
        </w:trPr>
        <w:tc>
          <w:tcPr>
            <w:tcW w:type="dxa" w:w="48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8</w:t>
            </w:r>
          </w:p>
        </w:tc>
        <w:tc>
          <w:tcPr>
            <w:tcW w:type="dxa" w:w="250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Buy the commodity, build the differentiator</w:t>
            </w:r>
          </w:p>
        </w:tc>
        <w:tc>
          <w:tcPr>
            <w:tcW w:type="dxa" w:w="665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Use managed services and off-the-shelf tools for infrastructure, notifications delivery and BI (SOW §6.1 Analytics). Build SportSeek's domain logic.</w:t>
            </w:r>
          </w:p>
        </w:tc>
      </w:tr>
    </w:tbl>
    <w:p>
      <w:pPr>
        <w:spacing w:after="140"/>
      </w:pPr>
    </w:p>
    <w:p>
      <w:pPr>
        <w:pStyle w:val="Heading1"/>
        <w:pageBreakBefore/>
      </w:pPr>
      <w:r>
        <w:t xml:space="preserve">4. Starting from what is live: Phase 1 assessment</w:t>
      </w:r>
    </w:p>
    <w:p>
      <w:pPr>
        <w:spacing w:after="120" w:line="276"/>
      </w:pPr>
      <w:r>
        <w:rPr>
          <w:rFonts w:ascii="Arial" w:cs="Arial" w:eastAsia="Arial" w:hAnsi="Arial"/>
          <w:color w:val="1A1A1A"/>
        </w:rPr>
        <w:t xml:space="preserve">SportSeek has confirmed the Phase 1 technology stack: </w:t>
      </w:r>
      <w:r>
        <w:rPr>
          <w:rFonts w:ascii="Arial" w:cs="Arial" w:eastAsia="Arial" w:hAnsi="Arial"/>
          <w:b/>
          <w:bCs/>
          <w:color w:val="1A1A1A"/>
        </w:rPr>
        <w:t xml:space="preserve">React Native</w:t>
      </w:r>
      <w:r>
        <w:rPr>
          <w:rFonts w:ascii="Arial" w:cs="Arial" w:eastAsia="Arial" w:hAnsi="Arial"/>
          <w:color w:val="1A1A1A"/>
        </w:rPr>
        <w:t xml:space="preserve"> mobile apps, a </w:t>
      </w:r>
      <w:r>
        <w:rPr>
          <w:rFonts w:ascii="Arial" w:cs="Arial" w:eastAsia="Arial" w:hAnsi="Arial"/>
          <w:b/>
          <w:bCs/>
          <w:color w:val="1A1A1A"/>
        </w:rPr>
        <w:t xml:space="preserve">.NET</w:t>
      </w:r>
      <w:r>
        <w:rPr>
          <w:rFonts w:ascii="Arial" w:cs="Arial" w:eastAsia="Arial" w:hAnsi="Arial"/>
          <w:color w:val="1A1A1A"/>
        </w:rPr>
        <w:t xml:space="preserve"> back end and a </w:t>
      </w:r>
      <w:r>
        <w:rPr>
          <w:rFonts w:ascii="Arial" w:cs="Arial" w:eastAsia="Arial" w:hAnsi="Arial"/>
          <w:b/>
          <w:bCs/>
          <w:color w:val="1A1A1A"/>
        </w:rPr>
        <w:t xml:space="preserve">PostgreSQL</w:t>
      </w:r>
      <w:r>
        <w:rPr>
          <w:rFonts w:ascii="Arial" w:cs="Arial" w:eastAsia="Arial" w:hAnsi="Arial"/>
          <w:color w:val="1A1A1A"/>
        </w:rPr>
        <w:t xml:space="preserve"> database. Phase 2A builds on that stack rather than replacing it (SOW §6). Knowing the stack is not the same as knowing the codebase, so our first technical act is a structured assessment of the live system. A launch-focused pass runs over 3 days (29 Sep – 1 Oct) and a full deep-dive over 2 weeks (5 – 16 Oct).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819"/>
        <w:gridCol w:w="2892"/>
      </w:tblGrid>
      <w:tr>
        <w:trPr>
          <w:cantSplit/>
          <w:tblHeader/>
        </w:trPr>
        <w:tc>
          <w:tcPr>
            <w:tcW w:type="dxa" w:w="192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Area</w:t>
            </w:r>
          </w:p>
        </w:tc>
        <w:tc>
          <w:tcPr>
            <w:tcW w:type="dxa" w:w="481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What we examine</w:t>
            </w:r>
          </w:p>
        </w:tc>
        <w:tc>
          <w:tcPr>
            <w:tcW w:type="dxa" w:w="289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Output</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Architecture &amp; code</w:t>
            </w:r>
          </w:p>
        </w:tc>
        <w:tc>
          <w:tcPr>
            <w:tcW w:type="dxa" w:w="48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.NET and React Native versions and support status, solution/module structure, code quality, NuGet and npm dependency health, test coverage, build process</w:t>
            </w:r>
          </w:p>
        </w:tc>
        <w:tc>
          <w:tcPr>
            <w:tcW w:type="dxa" w:w="289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Architecture as-is; technical-debt and upgrade register</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Data</w:t>
            </w:r>
          </w:p>
        </w:tc>
        <w:tc>
          <w:tcPr>
            <w:tcW w:type="dxa" w:w="48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PostgreSQL schema and migration history, identity/user tables per app, facility/service model, event/tournament model, indexes, data quality, duplicates</w:t>
            </w:r>
          </w:p>
        </w:tc>
        <w:tc>
          <w:tcPr>
            <w:tcW w:type="dxa" w:w="289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ER diagram as-is; duplicate-identity estimate</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Integrations</w:t>
            </w:r>
          </w:p>
        </w:tc>
        <w:tc>
          <w:tcPr>
            <w:tcW w:type="dxa" w:w="48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Payment gateway integration (flows, webhooks, refunds), SMS provider, maps/location</w:t>
            </w:r>
          </w:p>
        </w:tc>
        <w:tc>
          <w:tcPr>
            <w:tcW w:type="dxa" w:w="289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Integration inventory and gaps vs 2A</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Security</w:t>
            </w:r>
          </w:p>
        </w:tc>
        <w:tc>
          <w:tcPr>
            <w:tcW w:type="dxa" w:w="48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Authentication and session handling, authorisation checks, secrets, dependency vulnerabilities, OWASP Top 10 exposure</w:t>
            </w:r>
          </w:p>
        </w:tc>
        <w:tc>
          <w:tcPr>
            <w:tcW w:type="dxa" w:w="289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Security findings, prioritised for launch</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Infrastructure &amp; operations</w:t>
            </w:r>
          </w:p>
        </w:tc>
        <w:tc>
          <w:tcPr>
            <w:tcW w:type="dxa" w:w="481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Environments, CI/CD, backups and restore, monitoring, logging, scaling limits, cost</w:t>
            </w:r>
          </w:p>
        </w:tc>
        <w:tc>
          <w:tcPr>
            <w:tcW w:type="dxa" w:w="289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Operational readiness gaps</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Mobile release posture</w:t>
            </w:r>
          </w:p>
        </w:tc>
        <w:tc>
          <w:tcPr>
            <w:tcW w:type="dxa" w:w="481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Store accounts, signing, version distribution, forced-upgrade capability, store policy compliance</w:t>
            </w:r>
          </w:p>
        </w:tc>
        <w:tc>
          <w:tcPr>
            <w:tcW w:type="dxa" w:w="289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Release-readiness checklist</w:t>
            </w:r>
          </w:p>
        </w:tc>
      </w:tr>
    </w:tbl>
    <w:p>
      <w:pPr>
        <w:spacing w:after="140"/>
      </w:pPr>
    </w:p>
    <w:p>
      <w:pPr>
        <w:spacing w:after="120" w:line="276"/>
      </w:pPr>
      <w:r>
        <w:rPr>
          <w:rFonts w:ascii="Arial" w:cs="Arial" w:eastAsia="Arial" w:hAnsi="Arial"/>
          <w:color w:val="1A1A1A"/>
        </w:rPr>
        <w:t xml:space="preserve">The assessment feeds two decisions: the launch scope agreed at the 1 October Scope Gate, and the HLD choices in Section 11. Where Phase 1 is sound we build on it, as the SOW asks (SOW §6); where it is not, we say so with evidence and options.</w:t>
      </w:r>
    </w:p>
    <w:p>
      <w:pPr>
        <w:pStyle w:val="Heading1"/>
        <w:pageBreakBefore/>
      </w:pPr>
      <w:r>
        <w:t xml:space="preserve">5. Target architecture</w:t>
      </w:r>
    </w:p>
    <w:p>
      <w:pPr>
        <w:spacing w:after="60"/>
        <w:jc w:val="center"/>
      </w:pPr>
      <w:r>
        <w:drawing>
          <wp:inline distT="0" distB="0" distL="0" distR="0">
            <wp:extent cx="6096000" cy="4086225"/>
            <wp:effectExtent t="0" r="0" b="0" l="0"/>
            <wp:docPr id="1" name="fig" descr="Figure 1 — Phase 2A target architecture (logical view)" title="Figure 1 — Phase 2A target architecture (logica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086225"/>
                    </a:xfrm>
                    <a:prstGeom prst="rect">
                      <a:avLst/>
                    </a:prstGeom>
                  </pic:spPr>
                </pic:pic>
              </a:graphicData>
            </a:graphic>
          </wp:inline>
        </w:drawing>
      </w:r>
    </w:p>
    <w:p>
      <w:pPr>
        <w:spacing w:after="200"/>
        <w:jc w:val="center"/>
      </w:pPr>
      <w:r>
        <w:rPr>
          <w:rFonts w:ascii="Arial" w:cs="Arial" w:eastAsia="Arial" w:hAnsi="Arial"/>
          <w:i/>
          <w:iCs/>
          <w:color w:val="5A5A5A"/>
          <w:sz w:val="17"/>
          <w:szCs w:val="17"/>
        </w:rPr>
        <w:t xml:space="preserve">Figure 1 — Phase 2A target architecture (logical view)</w:t>
      </w:r>
    </w:p>
    <w:p>
      <w:pPr>
        <w:pStyle w:val="Heading2"/>
        <w:keepNext/>
      </w:pPr>
      <w:r>
        <w:t xml:space="preserve">5.1 Layers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Layer</w:t>
            </w:r>
          </w:p>
        </w:tc>
        <w:tc>
          <w:tcPr>
            <w:tcW w:type="dxa" w:w="771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Design</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Client channels</w:t>
            </w:r>
          </w:p>
        </w:tc>
        <w:tc>
          <w:tcPr>
            <w:tcW w:type="dxa" w:w="77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User App and Partner App (iOS/Android), the new Web Application (User, Organiser, Partner journeys) and the Admin Web Portal. Each keeps its own login, as the SOW requires (SOW §7), and is registered as its own OAuth2/OIDC client against the shared Identity service.</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API Gateway / BFF</w:t>
            </w:r>
          </w:p>
        </w:tc>
        <w:tc>
          <w:tcPr>
            <w:tcW w:type="dxa" w:w="77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Single entry point: TLS, token validation, app-scoped tokens, rate limiting, request correlation IDs, routing. Thin client-specific BFF endpoints shape responses for mobile and web without duplicating business logic.</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Core domains (modular monolith)</w:t>
            </w:r>
          </w:p>
        </w:tc>
        <w:tc>
          <w:tcPr>
            <w:tcW w:type="dxa" w:w="77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Identity &amp; Profile; Transaction Ledger; Booking, Events &amp; Tournaments; Partner &amp; Service Management; Notification. One deployable with enforced module boundaries. Architecture tests in CI fail the build if one module reaches into another's internals or schema.</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Async event bus</w:t>
            </w:r>
          </w:p>
        </w:tc>
        <w:tc>
          <w:tcPr>
            <w:tcW w:type="dxa" w:w="77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Transactional outbox in each domain's schema, relayed to a managed message broker in SportSeek's cloud. Consumers are idempotent. Failed messages go to a dead-letter queue with alerting.</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Data</w:t>
            </w:r>
          </w:p>
        </w:tc>
        <w:tc>
          <w:tcPr>
            <w:tcW w:type="dxa" w:w="77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One PostgreSQL instance with a schema per domain (SOW §6.1); encryption at rest; automated backups with point-in-time recovery; read replica if reporting load requires it.</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Analytics readiness</w:t>
            </w:r>
          </w:p>
        </w:tc>
        <w:tc>
          <w:tcPr>
            <w:tcW w:type="dxa" w:w="77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Domain events follow a documented taxonomy from 2A. Phase 2B can then stream them into a warehouse and an off-the-shelf BI tool (SOW §6.1, §9.9) without re-instrumenting.</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Third parties</w:t>
            </w:r>
          </w:p>
        </w:tc>
        <w:tc>
          <w:tcPr>
            <w:tcW w:type="dxa" w:w="77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All SportSeek-contracted (SOW §15). Each sits behind an adapter with timeouts, retries with back-off, circuit breaking, idempotency and webhook signature verification.</w:t>
            </w:r>
          </w:p>
        </w:tc>
      </w:tr>
    </w:tbl>
    <w:p>
      <w:pPr>
        <w:spacing w:after="140"/>
      </w:pPr>
    </w:p>
    <w:p>
      <w:pPr>
        <w:pStyle w:val="Heading2"/>
        <w:keepNext/>
      </w:pPr>
      <w:r>
        <w:t xml:space="preserve">5.2 Why a modular monolith, and when to split</w:t>
      </w:r>
    </w:p>
    <w:p>
      <w:pPr>
        <w:spacing w:after="120" w:line="276"/>
      </w:pPr>
      <w:r>
        <w:rPr>
          <w:rFonts w:ascii="Arial" w:cs="Arial" w:eastAsia="Arial" w:hAnsi="Arial"/>
          <w:color w:val="1A1A1A"/>
        </w:rPr>
        <w:t xml:space="preserve">The SOW recommends a modular monolith over "7+ independently deployed microservices, so a small team can move fast" (SOW §6). We agree, for concrete reasons: a single deployment pipeline, transactional consistency inside a domain, simpler local development for SportSeek developers joining the team, and lower infrastructure cost. The boundaries are what matter, and we enforce them in code and in CI. A domain is extracted into its own service only when there is a measured reason: independent scaling needs, a separate team owning it, or a materially different availability requirement. The schema-per-domain and event-driven integration make that extraction mechanical, not a rewrite.</w:t>
      </w:r>
    </w:p>
    <w:p>
      <w:pPr>
        <w:pStyle w:val="Heading2"/>
        <w:keepNext/>
      </w:pPr>
      <w:r>
        <w:t xml:space="preserve">5.3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469"/>
        <w:gridCol w:w="4242"/>
      </w:tblGrid>
      <w:tr>
        <w:trPr>
          <w:cantSplit/>
          <w:tblHeader/>
        </w:trPr>
        <w:tc>
          <w:tcPr>
            <w:tcW w:type="dxa" w:w="1927"/>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Layer</w:t>
            </w:r>
          </w:p>
        </w:tc>
        <w:tc>
          <w:tcPr>
            <w:tcW w:type="dxa" w:w="346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Technology (confirmed / proposed)</w:t>
            </w:r>
          </w:p>
        </w:tc>
        <w:tc>
          <w:tcPr>
            <w:tcW w:type="dxa" w:w="424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6"/>
                <w:szCs w:val="16"/>
              </w:rPr>
              <w:t xml:space="preserve">How we use it in Phase 2A</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Mobile apps</w:t>
            </w:r>
          </w:p>
        </w:tc>
        <w:tc>
          <w:tcPr>
            <w:tcW w:type="dxa" w:w="34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React Native with TypeScript (confirmed)</w:t>
            </w:r>
          </w:p>
        </w:tc>
        <w:tc>
          <w:tcPr>
            <w:tcW w:type="dxa" w:w="424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Extend the existing User and Partner apps: OIDC with PKCE (e.g. react-native-app-auth), push via FCM/APNs (e.g. React Native Firebase), deep links and app-switch handling, schema-driven onboarding forms, minimum-version enforcement; builds and store releases automated with Fastlane</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Back end</w:t>
            </w:r>
          </w:p>
        </w:tc>
        <w:tc>
          <w:tcPr>
            <w:tcW w:type="dxa" w:w="34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.NET — ASP.NET Core Web API, C# (confirmed)</w:t>
            </w:r>
          </w:p>
        </w:tc>
        <w:tc>
          <w:tcPr>
            <w:tcW w:type="dxa" w:w="424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One modular-monolith solution with a project per domain module; module boundaries enforced by architecture tests (NetArchTest or ArchUnitNET); hosted background services for outbox relay, reminders and reconciliation</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Data access</w:t>
            </w:r>
          </w:p>
        </w:tc>
        <w:tc>
          <w:tcPr>
            <w:tcW w:type="dxa" w:w="34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EF Core with the Npgsql provider (proposed, subject to the Phase 1 assessment)</w:t>
            </w:r>
          </w:p>
        </w:tc>
        <w:tc>
          <w:tcPr>
            <w:tcW w:type="dxa" w:w="424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A DbContext per domain mapped to its own PostgreSQL schema; migrations per module; raw SQL where PostgreSQL features need it (exclusion constraints, JSONB indexes)</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Database</w:t>
            </w:r>
          </w:p>
        </w:tc>
        <w:tc>
          <w:tcPr>
            <w:tcW w:type="dxa" w:w="34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PostgreSQL (confirmed)</w:t>
            </w:r>
          </w:p>
        </w:tc>
        <w:tc>
          <w:tcPr>
            <w:tcW w:type="dxa" w:w="424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Schema per domain; JSONB for service-type attributes; exclusion constraints against double-booking; geospatial radius search; point-in-time recovery</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Identity</w:t>
            </w:r>
          </w:p>
        </w:tc>
        <w:tc>
          <w:tcPr>
            <w:tcW w:type="dxa" w:w="34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OIDC server within the .NET estate (ADR-01)</w:t>
            </w:r>
          </w:p>
        </w:tc>
        <w:tc>
          <w:tcPr>
            <w:tcW w:type="dxa" w:w="424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See Section 6.1</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Web application</w:t>
            </w:r>
          </w:p>
        </w:tc>
        <w:tc>
          <w:tcPr>
            <w:tcW w:type="dxa" w:w="34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React + TypeScript with Next.js (proposed, ADR-05)</w:t>
            </w:r>
          </w:p>
        </w:tc>
        <w:tc>
          <w:tcPr>
            <w:tcW w:type="dxa" w:w="424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Same language and design tokens as the React Native apps; server rendering for public, shareable event pages</w:t>
            </w:r>
          </w:p>
        </w:tc>
      </w:tr>
      <w:tr>
        <w:trPr>
          <w:cantSplit/>
        </w:trPr>
        <w:tc>
          <w:tcPr>
            <w:tcW w:type="dxa" w:w="1927"/>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Testing</w:t>
            </w:r>
          </w:p>
        </w:tc>
        <w:tc>
          <w:tcPr>
            <w:tcW w:type="dxa" w:w="346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xUnit, Testcontainers for .NET (real PostgreSQL in tests), Jest + React Native Testing Library, Detox or Maestro, Playwright, k6 or JMeter</w:t>
            </w:r>
          </w:p>
        </w:tc>
        <w:tc>
          <w:tcPr>
            <w:tcW w:type="dxa" w:w="424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The test pyramid in Section 8, running in CI</w:t>
            </w:r>
          </w:p>
        </w:tc>
      </w:tr>
      <w:tr>
        <w:trPr>
          <w:cantSplit/>
        </w:trPr>
        <w:tc>
          <w:tcPr>
            <w:tcW w:type="dxa" w:w="1927"/>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Observability</w:t>
            </w:r>
          </w:p>
        </w:tc>
        <w:tc>
          <w:tcPr>
            <w:tcW w:type="dxa" w:w="346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OpenTelemetry for .NET; centralised logging and error tracking; mobile crash reporting</w:t>
            </w:r>
          </w:p>
        </w:tc>
        <w:tc>
          <w:tcPr>
            <w:tcW w:type="dxa" w:w="424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6"/>
                <w:szCs w:val="16"/>
              </w:rPr>
              <w:t xml:space="preserve">Section 7.4</w:t>
            </w:r>
          </w:p>
        </w:tc>
      </w:tr>
    </w:tbl>
    <w:p>
      <w:pPr>
        <w:spacing w:after="140"/>
      </w:pPr>
    </w:p>
    <w:p>
      <w:pPr>
        <w:pStyle w:val="Heading1"/>
        <w:pageBreakBefore/>
      </w:pPr>
      <w:r>
        <w:t xml:space="preserve">6. Module-by-module technical approach</w:t>
      </w:r>
    </w:p>
    <w:p>
      <w:pPr>
        <w:pStyle w:val="Heading2"/>
        <w:keepNext/>
      </w:pPr>
      <w:r>
        <w:t xml:space="preserve">6.1 Shared Identity &amp; Profile (M2 — Release 2A.1)</w:t>
      </w:r>
    </w:p>
    <w:p>
      <w:pPr>
        <w:pStyle w:val="Heading3"/>
        <w:keepNext/>
      </w:pPr>
      <w:r>
        <w:t xml:space="preserve">Identity model</w:t>
      </w:r>
    </w:p>
    <w:p>
      <w:pPr>
        <w:pStyle w:val="ListParagraph"/>
        <w:numPr>
          <w:ilvl w:val="0"/>
          <w:numId w:val="3"/>
        </w:numPr>
        <w:spacing w:after="60" w:line="264"/>
      </w:pPr>
      <w:r>
        <w:rPr>
          <w:rFonts w:ascii="Arial" w:cs="Arial" w:eastAsia="Arial" w:hAnsi="Arial"/>
          <w:b/>
          <w:bCs/>
          <w:color w:val="1A1A1A"/>
        </w:rPr>
        <w:t xml:space="preserve">Identity</w:t>
      </w:r>
      <w:r>
        <w:rPr>
          <w:rFonts w:ascii="Arial" w:cs="Arial" w:eastAsia="Arial" w:hAnsi="Arial"/>
          <w:color w:val="1A1A1A"/>
        </w:rPr>
        <w:t xml:space="preserve">: one record per person; the anchor for everything else.</w:t>
      </w:r>
    </w:p>
    <w:p>
      <w:pPr>
        <w:pStyle w:val="ListParagraph"/>
        <w:numPr>
          <w:ilvl w:val="0"/>
          <w:numId w:val="3"/>
        </w:numPr>
        <w:spacing w:after="60" w:line="264"/>
      </w:pPr>
      <w:r>
        <w:rPr>
          <w:rFonts w:ascii="Arial" w:cs="Arial" w:eastAsia="Arial" w:hAnsi="Arial"/>
          <w:b/>
          <w:bCs/>
          <w:color w:val="1A1A1A"/>
        </w:rPr>
        <w:t xml:space="preserve">Verified contacts</w:t>
      </w:r>
      <w:r>
        <w:rPr>
          <w:rFonts w:ascii="Arial" w:cs="Arial" w:eastAsia="Arial" w:hAnsi="Arial"/>
          <w:color w:val="1A1A1A"/>
        </w:rPr>
        <w:t xml:space="preserve">: phone (normalised to E.164) and email (normalised), each with a verified flag and timestamp; uniqueness enforced on verified values.</w:t>
      </w:r>
    </w:p>
    <w:p>
      <w:pPr>
        <w:pStyle w:val="ListParagraph"/>
        <w:numPr>
          <w:ilvl w:val="0"/>
          <w:numId w:val="3"/>
        </w:numPr>
        <w:spacing w:after="60" w:line="264"/>
      </w:pPr>
      <w:r>
        <w:rPr>
          <w:rFonts w:ascii="Arial" w:cs="Arial" w:eastAsia="Arial" w:hAnsi="Arial"/>
          <w:b/>
          <w:bCs/>
          <w:color w:val="1A1A1A"/>
        </w:rPr>
        <w:t xml:space="preserve">Credentials</w:t>
      </w:r>
      <w:r>
        <w:rPr>
          <w:rFonts w:ascii="Arial" w:cs="Arial" w:eastAsia="Arial" w:hAnsi="Arial"/>
          <w:color w:val="1A1A1A"/>
        </w:rPr>
        <w:t xml:space="preserve">: one credential set per identity. A password or credential change applies wherever the person logs in (SOW §7.4).</w:t>
      </w:r>
    </w:p>
    <w:p>
      <w:pPr>
        <w:pStyle w:val="ListParagraph"/>
        <w:numPr>
          <w:ilvl w:val="0"/>
          <w:numId w:val="3"/>
        </w:numPr>
        <w:spacing w:after="60" w:line="264"/>
      </w:pPr>
      <w:r>
        <w:rPr>
          <w:rFonts w:ascii="Arial" w:cs="Arial" w:eastAsia="Arial" w:hAnsi="Arial"/>
          <w:b/>
          <w:bCs/>
          <w:color w:val="1A1A1A"/>
        </w:rPr>
        <w:t xml:space="preserve">Role assignments</w:t>
      </w:r>
      <w:r>
        <w:rPr>
          <w:rFonts w:ascii="Arial" w:cs="Arial" w:eastAsia="Arial" w:hAnsi="Arial"/>
          <w:color w:val="1A1A1A"/>
        </w:rPr>
        <w:t xml:space="preserve">: Player, Event Organiser, Facility Partner, Coach, Physio, Nutritionist and Admin roles held on one identity (SOW §7.2).</w:t>
      </w:r>
    </w:p>
    <w:p>
      <w:pPr>
        <w:pStyle w:val="ListParagraph"/>
        <w:numPr>
          <w:ilvl w:val="0"/>
          <w:numId w:val="3"/>
        </w:numPr>
        <w:spacing w:after="60" w:line="264"/>
      </w:pPr>
      <w:r>
        <w:rPr>
          <w:rFonts w:ascii="Arial" w:cs="Arial" w:eastAsia="Arial" w:hAnsi="Arial"/>
          <w:b/>
          <w:bCs/>
          <w:color w:val="1A1A1A"/>
        </w:rPr>
        <w:t xml:space="preserve">KYC / verification</w:t>
      </w:r>
      <w:r>
        <w:rPr>
          <w:rFonts w:ascii="Arial" w:cs="Arial" w:eastAsia="Arial" w:hAnsi="Arial"/>
          <w:color w:val="1A1A1A"/>
        </w:rPr>
        <w:t xml:space="preserve">: attached to the identity and reused across roles (SOW §7.4); status and evidence references stored, with sensitive documents in restricted storage.</w:t>
      </w:r>
    </w:p>
    <w:p>
      <w:pPr>
        <w:pStyle w:val="ListParagraph"/>
        <w:numPr>
          <w:ilvl w:val="0"/>
          <w:numId w:val="3"/>
        </w:numPr>
        <w:spacing w:after="60" w:line="264"/>
      </w:pPr>
      <w:r>
        <w:rPr>
          <w:rFonts w:ascii="Arial" w:cs="Arial" w:eastAsia="Arial" w:hAnsi="Arial"/>
          <w:b/>
          <w:bCs/>
          <w:color w:val="1A1A1A"/>
        </w:rPr>
        <w:t xml:space="preserve">Role-scoped data and preferences</w:t>
      </w:r>
      <w:r>
        <w:rPr>
          <w:rFonts w:ascii="Arial" w:cs="Arial" w:eastAsia="Arial" w:hAnsi="Arial"/>
          <w:color w:val="1A1A1A"/>
        </w:rPr>
        <w:t xml:space="preserve">: notification preferences and role-specific profile data live per role, so a Player never receives facility-owner alerts (SOW §7.4).</w:t>
      </w:r>
    </w:p>
    <w:p>
      <w:pPr>
        <w:pStyle w:val="Heading3"/>
        <w:keepNext/>
      </w:pPr>
      <w:r>
        <w:t xml:space="preserve">Authentication</w:t>
      </w:r>
    </w:p>
    <w:p>
      <w:pPr>
        <w:pStyle w:val="ListParagraph"/>
        <w:numPr>
          <w:ilvl w:val="0"/>
          <w:numId w:val="3"/>
        </w:numPr>
        <w:spacing w:after="60" w:line="264"/>
      </w:pPr>
      <w:r>
        <w:rPr>
          <w:rFonts w:ascii="Arial" w:cs="Arial" w:eastAsia="Arial" w:hAnsi="Arial"/>
          <w:color w:val="1A1A1A"/>
        </w:rPr>
        <w:t xml:space="preserve">Each app (User, Partner, Admin, Web) is its own OIDC client. Tokens are app-scoped and carry the roles relevant to that app. There is no silent session sharing, because SSO is out of scope (SOW §4, §7).</w:t>
      </w:r>
    </w:p>
    <w:p>
      <w:pPr>
        <w:pStyle w:val="ListParagraph"/>
        <w:numPr>
          <w:ilvl w:val="0"/>
          <w:numId w:val="3"/>
        </w:numPr>
        <w:spacing w:after="60" w:line="264"/>
      </w:pPr>
      <w:r>
        <w:rPr>
          <w:rFonts w:ascii="Arial" w:cs="Arial" w:eastAsia="Arial" w:hAnsi="Arial"/>
          <w:color w:val="1A1A1A"/>
        </w:rPr>
        <w:t xml:space="preserve">Mobile and web use Authorization Code with PKCE. Access tokens are short-lived; refresh tokens rotate and can be revoked per device.</w:t>
      </w:r>
    </w:p>
    <w:p>
      <w:pPr>
        <w:pStyle w:val="ListParagraph"/>
        <w:numPr>
          <w:ilvl w:val="0"/>
          <w:numId w:val="3"/>
        </w:numPr>
        <w:spacing w:after="60" w:line="264"/>
      </w:pPr>
      <w:r>
        <w:rPr>
          <w:rFonts w:ascii="Arial" w:cs="Arial" w:eastAsia="Arial" w:hAnsi="Arial"/>
          <w:color w:val="1A1A1A"/>
        </w:rPr>
        <w:t xml:space="preserve">OTP flows are rate-limited per phone, device and IP, with attempt caps and lockout, to resist brute force and SMS pumping.</w:t>
      </w:r>
    </w:p>
    <w:p>
      <w:pPr>
        <w:pStyle w:val="Heading3"/>
        <w:keepNext/>
      </w:pPr>
      <w:r>
        <w:t xml:space="preserve">Account linking (SOW §7.3), the flow we design against duplicates</w:t>
      </w:r>
    </w:p>
    <w:p>
      <w:pPr>
        <w:pStyle w:val="ListParagraph"/>
        <w:numPr>
          <w:ilvl w:val="0"/>
          <w:numId w:val="4"/>
        </w:numPr>
        <w:spacing w:after="60" w:line="264"/>
      </w:pPr>
      <w:r>
        <w:rPr>
          <w:rFonts w:ascii="Arial" w:cs="Arial" w:eastAsia="Arial" w:hAnsi="Arial"/>
          <w:color w:val="1A1A1A"/>
        </w:rPr>
        <w:t xml:space="preserve">A person registers on the Partner App (or User App) with a phone number or email.</w:t>
      </w:r>
    </w:p>
    <w:p>
      <w:pPr>
        <w:pStyle w:val="ListParagraph"/>
        <w:numPr>
          <w:ilvl w:val="0"/>
          <w:numId w:val="4"/>
        </w:numPr>
        <w:spacing w:after="60" w:line="264"/>
      </w:pPr>
      <w:r>
        <w:rPr>
          <w:rFonts w:ascii="Arial" w:cs="Arial" w:eastAsia="Arial" w:hAnsi="Arial"/>
          <w:color w:val="1A1A1A"/>
        </w:rPr>
        <w:t xml:space="preserve">The Identity service normalises the identifier and looks up </w:t>
      </w:r>
      <w:r>
        <w:rPr>
          <w:rFonts w:ascii="Arial" w:cs="Arial" w:eastAsia="Arial" w:hAnsi="Arial"/>
          <w:b/>
          <w:bCs/>
          <w:color w:val="1A1A1A"/>
        </w:rPr>
        <w:t xml:space="preserve">verified</w:t>
      </w:r>
      <w:r>
        <w:rPr>
          <w:rFonts w:ascii="Arial" w:cs="Arial" w:eastAsia="Arial" w:hAnsi="Arial"/>
          <w:color w:val="1A1A1A"/>
        </w:rPr>
        <w:t xml:space="preserve"> contacts.</w:t>
      </w:r>
    </w:p>
    <w:p>
      <w:pPr>
        <w:pStyle w:val="ListParagraph"/>
        <w:numPr>
          <w:ilvl w:val="0"/>
          <w:numId w:val="4"/>
        </w:numPr>
        <w:spacing w:after="60" w:line="264"/>
      </w:pPr>
      <w:r>
        <w:rPr>
          <w:rFonts w:ascii="Arial" w:cs="Arial" w:eastAsia="Arial" w:hAnsi="Arial"/>
          <w:color w:val="1A1A1A"/>
        </w:rPr>
        <w:t xml:space="preserve">If a match exists, the person must </w:t>
      </w:r>
      <w:r>
        <w:rPr>
          <w:rFonts w:ascii="Arial" w:cs="Arial" w:eastAsia="Arial" w:hAnsi="Arial"/>
          <w:b/>
          <w:bCs/>
          <w:color w:val="1A1A1A"/>
        </w:rPr>
        <w:t xml:space="preserve">prove ownership by OTP</w:t>
      </w:r>
      <w:r>
        <w:rPr>
          <w:rFonts w:ascii="Arial" w:cs="Arial" w:eastAsia="Arial" w:hAnsi="Arial"/>
          <w:color w:val="1A1A1A"/>
        </w:rPr>
        <w:t xml:space="preserve"> on that contact. Linking on a matching number alone would let anyone claim someone else's account.</w:t>
      </w:r>
    </w:p>
    <w:p>
      <w:pPr>
        <w:pStyle w:val="ListParagraph"/>
        <w:numPr>
          <w:ilvl w:val="0"/>
          <w:numId w:val="4"/>
        </w:numPr>
        <w:spacing w:after="60" w:line="264"/>
      </w:pPr>
      <w:r>
        <w:rPr>
          <w:rFonts w:ascii="Arial" w:cs="Arial" w:eastAsia="Arial" w:hAnsi="Arial"/>
          <w:color w:val="1A1A1A"/>
        </w:rPr>
        <w:t xml:space="preserve">On successful proof, the new role is </w:t>
      </w:r>
      <w:r>
        <w:rPr>
          <w:rFonts w:ascii="Arial" w:cs="Arial" w:eastAsia="Arial" w:hAnsi="Arial"/>
          <w:b/>
          <w:bCs/>
          <w:color w:val="1A1A1A"/>
        </w:rPr>
        <w:t xml:space="preserve">added to the existing identity</w:t>
      </w:r>
      <w:r>
        <w:rPr>
          <w:rFonts w:ascii="Arial" w:cs="Arial" w:eastAsia="Arial" w:hAnsi="Arial"/>
          <w:color w:val="1A1A1A"/>
        </w:rPr>
        <w:t xml:space="preserve">. No second record is created; profile and KYC become visible from both apps (SOW §9.1).</w:t>
      </w:r>
    </w:p>
    <w:p>
      <w:pPr>
        <w:pStyle w:val="ListParagraph"/>
        <w:numPr>
          <w:ilvl w:val="0"/>
          <w:numId w:val="4"/>
        </w:numPr>
        <w:spacing w:after="60" w:line="264"/>
      </w:pPr>
      <w:r>
        <w:rPr>
          <w:rFonts w:ascii="Arial" w:cs="Arial" w:eastAsia="Arial" w:hAnsi="Arial"/>
          <w:color w:val="1A1A1A"/>
        </w:rPr>
        <w:t xml:space="preserve">If no identity exists, the person is guided to register, and the app they register from determines the initial role (SOW §7.3).</w:t>
      </w:r>
    </w:p>
    <w:p>
      <w:pPr>
        <w:pStyle w:val="ListParagraph"/>
        <w:numPr>
          <w:ilvl w:val="0"/>
          <w:numId w:val="4"/>
        </w:numPr>
        <w:spacing w:after="60" w:line="264"/>
      </w:pPr>
      <w:r>
        <w:rPr>
          <w:rFonts w:ascii="Arial" w:cs="Arial" w:eastAsia="Arial" w:hAnsi="Arial"/>
          <w:color w:val="1A1A1A"/>
        </w:rPr>
        <w:t xml:space="preserve">Every linking decision is audit-logged. An automated acceptance test asserts "existing User App phone registers on Partner App → same identity, role added, no duplicate".</w:t>
      </w:r>
    </w:p>
    <w:p>
      <w:pPr>
        <w:pStyle w:val="Heading3"/>
        <w:keepNext/>
      </w:pPr>
      <w:r>
        <w:t xml:space="preserve">Existing data and backward compatibility</w:t>
      </w:r>
    </w:p>
    <w:p>
      <w:pPr>
        <w:spacing w:after="120" w:line="276"/>
      </w:pPr>
      <w:r>
        <w:rPr>
          <w:rFonts w:ascii="Arial" w:cs="Arial" w:eastAsia="Arial" w:hAnsi="Arial"/>
          <w:color w:val="1A1A1A"/>
        </w:rPr>
        <w:t xml:space="preserve">Phase 1 may already contain people with separate User and Partner records. We run a duplicate-detection report early (WBS 5.7). SportSeek approves the merge rules (D18): which profile fields win, and how bookings, events and payouts are re-pointed. The migration is rehearsed on Staging with full reconciliation counts before production. Old app versions keep working through versioned endpoints until minimum-version enforcement moves users onto the updated apps.</w:t>
      </w:r>
    </w:p>
    <w:p>
      <w:pPr>
        <w:pStyle w:val="Heading3"/>
        <w:keepNext/>
      </w:pPr>
      <w:r>
        <w:t xml:space="preserve">Build or adopt the identity provider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614"/>
        <w:gridCol w:w="3615"/>
      </w:tblGrid>
      <w:tr>
        <w:trPr>
          <w:cantSplit/>
          <w:tblHeader/>
        </w:trPr>
        <w:tc>
          <w:tcPr>
            <w:tcW w:type="dxa" w:w="2409"/>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Option</w:t>
            </w:r>
          </w:p>
        </w:tc>
        <w:tc>
          <w:tcPr>
            <w:tcW w:type="dxa" w:w="361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Strengths</w:t>
            </w:r>
          </w:p>
        </w:tc>
        <w:tc>
          <w:tcPr>
            <w:tcW w:type="dxa" w:w="361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Watch-outs</w:t>
            </w:r>
          </w:p>
        </w:tc>
      </w:tr>
      <w:tr>
        <w:trPr>
          <w:cantSplit/>
        </w:trPr>
        <w:tc>
          <w:tcPr>
            <w:tcW w:type="dxa" w:w="24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ASP.NET Core Identity + OpenIddict (open-source OIDC server library for .NET), inside the SportSeek back end</w:t>
            </w:r>
          </w:p>
        </w:tc>
        <w:tc>
          <w:tcPr>
            <w:tcW w:type="dxa" w:w="36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Same stack and team skills as Phase 1; no per-user licence; account-linking, roles and KYC logic sit next to the identity data</w:t>
            </w:r>
          </w:p>
        </w:tc>
        <w:tc>
          <w:tcPr>
            <w:tcW w:type="dxa" w:w="361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 owns security patching of the library; OIDC configuration must be security-reviewed</w:t>
            </w:r>
          </w:p>
        </w:tc>
      </w:tr>
      <w:tr>
        <w:trPr>
          <w:cantSplit/>
        </w:trPr>
        <w:tc>
          <w:tcPr>
            <w:tcW w:type="dxa" w:w="2409"/>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Standalone open-source identity server (e.g. Keycloak), self-hosted</w:t>
            </w:r>
          </w:p>
        </w:tc>
        <w:tc>
          <w:tcPr>
            <w:tcW w:type="dxa" w:w="361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Standards-complete OIDC and admin console out of the box</w:t>
            </w:r>
          </w:p>
        </w:tc>
        <w:tc>
          <w:tcPr>
            <w:tcW w:type="dxa" w:w="361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Separate Java-based runtime to operate; custom linking flows need extensions outside the .NET codebase</w:t>
            </w:r>
          </w:p>
        </w:tc>
      </w:tr>
      <w:tr>
        <w:trPr>
          <w:cantSplit/>
        </w:trPr>
        <w:tc>
          <w:tcPr>
            <w:tcW w:type="dxa" w:w="2409"/>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Managed identity service from SportSeek's cloud provider or a vendor</w:t>
            </w:r>
          </w:p>
        </w:tc>
        <w:tc>
          <w:tcPr>
            <w:tcW w:type="dxa" w:w="361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Least operations; mature security features</w:t>
            </w:r>
          </w:p>
        </w:tc>
        <w:tc>
          <w:tcPr>
            <w:tcW w:type="dxa" w:w="361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Per-user cost at scale; OTP/phone flows and custom linking logic need checking against the provider's limits</w:t>
            </w:r>
          </w:p>
        </w:tc>
      </w:tr>
    </w:tbl>
    <w:p>
      <w:pPr>
        <w:spacing w:after="140"/>
      </w:pPr>
    </w:p>
    <w:p>
      <w:pPr>
        <w:spacing w:after="120" w:line="276"/>
      </w:pPr>
      <w:r>
        <w:rPr>
          <w:rFonts w:ascii="Arial" w:cs="Arial" w:eastAsia="Arial" w:hAnsi="Arial"/>
          <w:b/>
          <w:bCs/>
          <w:color w:val="1A1A1A"/>
        </w:rPr>
        <w:t xml:space="preserve">Recommendation:</w:t>
      </w:r>
      <w:r>
        <w:rPr>
          <w:rFonts w:ascii="Arial" w:cs="Arial" w:eastAsia="Arial" w:hAnsi="Arial"/>
          <w:color w:val="1A1A1A"/>
        </w:rPr>
        <w:t xml:space="preserve"> given the confirmed .NET stack, our leaning is ASP.NET Core Identity with OpenIddict. It keeps identity in the same codebase, language and deployment as the rest of the platform, and SportSeek's .NET developers can own it after KT. The final choice is made in the HLD (ADR-01) after the Phase 1 assessment reviews the current authentication code. Whichever option is chosen, the account-linking logic, role model and KYC reuse sit in SportSeek's Identity domain, so the provider stays replaceable.</w:t>
      </w:r>
    </w:p>
    <w:p>
      <w:pPr>
        <w:pStyle w:val="Heading2"/>
        <w:keepNext/>
      </w:pPr>
      <w:r>
        <w:t xml:space="preserve">6.2 Notification Platform (M6 — core in 2A.1, complete in 2A.2)</w:t>
      </w:r>
    </w:p>
    <w:p>
      <w:pPr>
        <w:pStyle w:val="ListParagraph"/>
        <w:numPr>
          <w:ilvl w:val="0"/>
          <w:numId w:val="3"/>
        </w:numPr>
        <w:spacing w:after="60" w:line="264"/>
      </w:pPr>
      <w:r>
        <w:rPr>
          <w:rFonts w:ascii="Arial" w:cs="Arial" w:eastAsia="Arial" w:hAnsi="Arial"/>
          <w:b/>
          <w:bCs/>
          <w:color w:val="1A1A1A"/>
        </w:rPr>
        <w:t xml:space="preserve">Event-driven</w:t>
      </w:r>
      <w:r>
        <w:rPr>
          <w:rFonts w:ascii="Arial" w:cs="Arial" w:eastAsia="Arial" w:hAnsi="Arial"/>
          <w:color w:val="1A1A1A"/>
        </w:rPr>
        <w:t xml:space="preserve">: domains publish business events such as booking.confirmed, event.updated, waitlist.slot_opened and refund.processed. The Notification service maps events to catalog entries; domains never call channel providers directly.</w:t>
      </w:r>
    </w:p>
    <w:p>
      <w:pPr>
        <w:pStyle w:val="ListParagraph"/>
        <w:numPr>
          <w:ilvl w:val="0"/>
          <w:numId w:val="3"/>
        </w:numPr>
        <w:spacing w:after="60" w:line="264"/>
      </w:pPr>
      <w:r>
        <w:rPr>
          <w:rFonts w:ascii="Arial" w:cs="Arial" w:eastAsia="Arial" w:hAnsi="Arial"/>
          <w:b/>
          <w:bCs/>
          <w:color w:val="1A1A1A"/>
        </w:rPr>
        <w:t xml:space="preserve">Catalog as configuration</w:t>
      </w:r>
      <w:r>
        <w:rPr>
          <w:rFonts w:ascii="Arial" w:cs="Arial" w:eastAsia="Arial" w:hAnsi="Arial"/>
          <w:color w:val="1A1A1A"/>
        </w:rPr>
        <w:t xml:space="preserve">: each trigger defines its recipients (by role), channels, template per channel and language, and priority. It starts from SOW §10 and is extended jointly during LLD (SOW §10.3 ⚑).</w:t>
      </w:r>
    </w:p>
    <w:p>
      <w:pPr>
        <w:pStyle w:val="ListParagraph"/>
        <w:numPr>
          <w:ilvl w:val="0"/>
          <w:numId w:val="3"/>
        </w:numPr>
        <w:spacing w:after="60" w:line="264"/>
      </w:pPr>
      <w:r>
        <w:rPr>
          <w:rFonts w:ascii="Arial" w:cs="Arial" w:eastAsia="Arial" w:hAnsi="Arial"/>
          <w:b/>
          <w:bCs/>
          <w:color w:val="1A1A1A"/>
        </w:rPr>
        <w:t xml:space="preserve">Template management</w:t>
      </w:r>
      <w:r>
        <w:rPr>
          <w:rFonts w:ascii="Arial" w:cs="Arial" w:eastAsia="Arial" w:hAnsi="Arial"/>
          <w:color w:val="1A1A1A"/>
        </w:rPr>
        <w:t xml:space="preserve">: versioned templates with preview and test-send from admin tooling. Templates and content are supplied by SportSeek (SOW §10).</w:t>
      </w:r>
    </w:p>
    <w:p>
      <w:pPr>
        <w:pStyle w:val="ListParagraph"/>
        <w:numPr>
          <w:ilvl w:val="0"/>
          <w:numId w:val="3"/>
        </w:numPr>
        <w:spacing w:after="60" w:line="264"/>
      </w:pPr>
      <w:r>
        <w:rPr>
          <w:rFonts w:ascii="Arial" w:cs="Arial" w:eastAsia="Arial" w:hAnsi="Arial"/>
          <w:b/>
          <w:bCs/>
          <w:color w:val="1A1A1A"/>
        </w:rPr>
        <w:t xml:space="preserve">Channels</w:t>
      </w:r>
      <w:r>
        <w:rPr>
          <w:rFonts w:ascii="Arial" w:cs="Arial" w:eastAsia="Arial" w:hAnsi="Arial"/>
          <w:color w:val="1A1A1A"/>
        </w:rPr>
        <w:t xml:space="preserve">: SMS through the existing provider, with new commercial templates registered on the DLT platform as Indian regulation requires. Push through FCM/APNs with device tokens per app and per identity. WhatsApp through SportSeek's Business Solution Provider, using Meta-approved templates and recorded opt-in. Email through SportSeek's provider with authenticated sending domains (SPF/DKIM/DMARC).</w:t>
      </w:r>
    </w:p>
    <w:p>
      <w:pPr>
        <w:pStyle w:val="ListParagraph"/>
        <w:numPr>
          <w:ilvl w:val="0"/>
          <w:numId w:val="3"/>
        </w:numPr>
        <w:spacing w:after="60" w:line="264"/>
      </w:pPr>
      <w:r>
        <w:rPr>
          <w:rFonts w:ascii="Arial" w:cs="Arial" w:eastAsia="Arial" w:hAnsi="Arial"/>
          <w:b/>
          <w:bCs/>
          <w:color w:val="1A1A1A"/>
        </w:rPr>
        <w:t xml:space="preserve">Preferences &amp; scoping</w:t>
      </w:r>
      <w:r>
        <w:rPr>
          <w:rFonts w:ascii="Arial" w:cs="Arial" w:eastAsia="Arial" w:hAnsi="Arial"/>
          <w:color w:val="1A1A1A"/>
        </w:rPr>
        <w:t xml:space="preserve">: per role and per channel; mandatory transactional and security alerts cannot be switched off; opt-in alerts (e.g. new events matching followed sports) respect consent.</w:t>
      </w:r>
    </w:p>
    <w:p>
      <w:pPr>
        <w:pStyle w:val="ListParagraph"/>
        <w:numPr>
          <w:ilvl w:val="0"/>
          <w:numId w:val="3"/>
        </w:numPr>
        <w:spacing w:after="60" w:line="264"/>
      </w:pPr>
      <w:r>
        <w:rPr>
          <w:rFonts w:ascii="Arial" w:cs="Arial" w:eastAsia="Arial" w:hAnsi="Arial"/>
          <w:b/>
          <w:bCs/>
          <w:color w:val="1A1A1A"/>
        </w:rPr>
        <w:t xml:space="preserve">Reliability</w:t>
      </w:r>
      <w:r>
        <w:rPr>
          <w:rFonts w:ascii="Arial" w:cs="Arial" w:eastAsia="Arial" w:hAnsi="Arial"/>
          <w:color w:val="1A1A1A"/>
        </w:rPr>
        <w:t xml:space="preserve">: idempotent sends (one message per event × recipient × channel), retries with back-off, fallback (e.g. Push then SMS for time-critical reminders), and a delivery-status log with provider callbacks.</w:t>
      </w:r>
    </w:p>
    <w:p>
      <w:pPr>
        <w:pStyle w:val="ListParagraph"/>
        <w:numPr>
          <w:ilvl w:val="0"/>
          <w:numId w:val="3"/>
        </w:numPr>
        <w:spacing w:after="60" w:line="264"/>
      </w:pPr>
      <w:r>
        <w:rPr>
          <w:rFonts w:ascii="Arial" w:cs="Arial" w:eastAsia="Arial" w:hAnsi="Arial"/>
          <w:b/>
          <w:bCs/>
          <w:color w:val="1A1A1A"/>
        </w:rPr>
        <w:t xml:space="preserve">Deep links across apps</w:t>
      </w:r>
      <w:r>
        <w:rPr>
          <w:rFonts w:ascii="Arial" w:cs="Arial" w:eastAsia="Arial" w:hAnsi="Arial"/>
          <w:color w:val="1A1A1A"/>
        </w:rPr>
        <w:t xml:space="preserve">: a notification that needs an action in the other app uses explicit app-switch handling (open the other app, or its store page if it is not installed), not a shared session (SOW §7.4).</w:t>
      </w:r>
    </w:p>
    <w:p>
      <w:pPr>
        <w:pStyle w:val="ListParagraph"/>
        <w:numPr>
          <w:ilvl w:val="0"/>
          <w:numId w:val="3"/>
        </w:numPr>
        <w:spacing w:after="60" w:line="264"/>
      </w:pPr>
      <w:r>
        <w:rPr>
          <w:rFonts w:ascii="Arial" w:cs="Arial" w:eastAsia="Arial" w:hAnsi="Arial"/>
          <w:b/>
          <w:bCs/>
          <w:color w:val="1A1A1A"/>
        </w:rPr>
        <w:t xml:space="preserve">Scheduled reminders</w:t>
      </w:r>
      <w:r>
        <w:rPr>
          <w:rFonts w:ascii="Arial" w:cs="Arial" w:eastAsia="Arial" w:hAnsi="Arial"/>
          <w:color w:val="1A1A1A"/>
        </w:rPr>
        <w:t xml:space="preserve"> (T-24h, T-2h, per SOW §10.2) come from a durable scheduler and are cancelled or re-timed automatically when bookings or events change.</w:t>
      </w:r>
    </w:p>
    <w:p>
      <w:pPr>
        <w:pStyle w:val="Heading2"/>
        <w:keepNext/>
      </w:pPr>
      <w:r>
        <w:t xml:space="preserve">6.3 Partner &amp; Service Management — generalised (M5 — Release 2A.2)</w:t>
      </w:r>
    </w:p>
    <w:p>
      <w:pPr>
        <w:pStyle w:val="ListParagraph"/>
        <w:numPr>
          <w:ilvl w:val="0"/>
          <w:numId w:val="3"/>
        </w:numPr>
        <w:spacing w:after="60" w:line="264"/>
      </w:pPr>
      <w:r>
        <w:rPr>
          <w:rFonts w:ascii="Arial" w:cs="Arial" w:eastAsia="Arial" w:hAnsi="Arial"/>
          <w:b/>
          <w:bCs/>
          <w:color w:val="1A1A1A"/>
        </w:rPr>
        <w:t xml:space="preserve">Service core</w:t>
      </w:r>
      <w:r>
        <w:rPr>
          <w:rFonts w:ascii="Arial" w:cs="Arial" w:eastAsia="Arial" w:hAnsi="Arial"/>
          <w:color w:val="1A1A1A"/>
        </w:rPr>
        <w:t xml:space="preserve">: name, description, pricing, availability, location, verification status, owning partner (SOW §9.4 shared fields).</w:t>
      </w:r>
    </w:p>
    <w:p>
      <w:pPr>
        <w:pStyle w:val="ListParagraph"/>
        <w:numPr>
          <w:ilvl w:val="0"/>
          <w:numId w:val="3"/>
        </w:numPr>
        <w:spacing w:after="60" w:line="264"/>
      </w:pPr>
      <w:r>
        <w:rPr>
          <w:rFonts w:ascii="Arial" w:cs="Arial" w:eastAsia="Arial" w:hAnsi="Arial"/>
          <w:b/>
          <w:bCs/>
          <w:color w:val="1A1A1A"/>
        </w:rPr>
        <w:t xml:space="preserve">Service types as data</w:t>
      </w:r>
      <w:r>
        <w:rPr>
          <w:rFonts w:ascii="Arial" w:cs="Arial" w:eastAsia="Arial" w:hAnsi="Arial"/>
          <w:color w:val="1A1A1A"/>
        </w:rPr>
        <w:t xml:space="preserve">: each type (Facility, Coach, Physio, Nutritionist, and future types) has a versioned attribute schema, e.g. amenities for facilities, certifications and session format for coaches. Type-specific attributes are stored as validated structured documents (Postgres JSONB checked against the type's schema). Admins enable a type and its schema from the dashboard with no code change (SOW §9.4 acceptance).</w:t>
      </w:r>
    </w:p>
    <w:p>
      <w:pPr>
        <w:pStyle w:val="ListParagraph"/>
        <w:numPr>
          <w:ilvl w:val="0"/>
          <w:numId w:val="3"/>
        </w:numPr>
        <w:spacing w:after="60" w:line="264"/>
      </w:pPr>
      <w:r>
        <w:rPr>
          <w:rFonts w:ascii="Arial" w:cs="Arial" w:eastAsia="Arial" w:hAnsi="Arial"/>
          <w:b/>
          <w:bCs/>
          <w:color w:val="1A1A1A"/>
        </w:rPr>
        <w:t xml:space="preserve">Dynamic onboarding forms</w:t>
      </w:r>
      <w:r>
        <w:rPr>
          <w:rFonts w:ascii="Arial" w:cs="Arial" w:eastAsia="Arial" w:hAnsi="Arial"/>
          <w:color w:val="1A1A1A"/>
        </w:rPr>
        <w:t xml:space="preserve"> in the Partner App and web are rendered from the type schema, so a new type needs no app release unless it brings a new interaction pattern.</w:t>
      </w:r>
    </w:p>
    <w:p>
      <w:pPr>
        <w:pStyle w:val="ListParagraph"/>
        <w:numPr>
          <w:ilvl w:val="0"/>
          <w:numId w:val="3"/>
        </w:numPr>
        <w:spacing w:after="60" w:line="264"/>
      </w:pPr>
      <w:r>
        <w:rPr>
          <w:rFonts w:ascii="Arial" w:cs="Arial" w:eastAsia="Arial" w:hAnsi="Arial"/>
          <w:b/>
          <w:bCs/>
          <w:color w:val="1A1A1A"/>
        </w:rPr>
        <w:t xml:space="preserve">Verification workflow per type</w:t>
      </w:r>
      <w:r>
        <w:rPr>
          <w:rFonts w:ascii="Arial" w:cs="Arial" w:eastAsia="Arial" w:hAnsi="Arial"/>
          <w:color w:val="1A1A1A"/>
        </w:rPr>
        <w:t xml:space="preserve">: a configurable checklist (documents, certifications) reviewed in the Admin Portal, with the status change published as an event that triggers notifications (SOW §10.2).</w:t>
      </w:r>
    </w:p>
    <w:p>
      <w:pPr>
        <w:pStyle w:val="ListParagraph"/>
        <w:numPr>
          <w:ilvl w:val="0"/>
          <w:numId w:val="3"/>
        </w:numPr>
        <w:spacing w:after="60" w:line="264"/>
      </w:pPr>
      <w:r>
        <w:rPr>
          <w:rFonts w:ascii="Arial" w:cs="Arial" w:eastAsia="Arial" w:hAnsi="Arial"/>
          <w:b/>
          <w:bCs/>
          <w:color w:val="1A1A1A"/>
        </w:rPr>
        <w:t xml:space="preserve">Facilities migrate first</w:t>
      </w:r>
      <w:r>
        <w:rPr>
          <w:rFonts w:ascii="Arial" w:cs="Arial" w:eastAsia="Arial" w:hAnsi="Arial"/>
          <w:color w:val="1A1A1A"/>
        </w:rPr>
        <w:t xml:space="preserve">: existing facilities become type "Facility" through a scripted, reversible migration behind a feature flag, backed by a full facility booking and payout regression. This is SOW §9.4's criterion that "existing facility partners are unaffected".</w:t>
      </w:r>
    </w:p>
    <w:p>
      <w:pPr>
        <w:pStyle w:val="ListParagraph"/>
        <w:numPr>
          <w:ilvl w:val="0"/>
          <w:numId w:val="3"/>
        </w:numPr>
        <w:spacing w:after="60" w:line="264"/>
      </w:pPr>
      <w:r>
        <w:rPr>
          <w:rFonts w:ascii="Arial" w:cs="Arial" w:eastAsia="Arial" w:hAnsi="Arial"/>
          <w:b/>
          <w:bCs/>
          <w:color w:val="1A1A1A"/>
        </w:rPr>
        <w:t xml:space="preserve">Payout onboarding</w:t>
      </w:r>
      <w:r>
        <w:rPr>
          <w:rFonts w:ascii="Arial" w:cs="Arial" w:eastAsia="Arial" w:hAnsi="Arial"/>
          <w:color w:val="1A1A1A"/>
        </w:rPr>
        <w:t xml:space="preserve">: partner KYC and bank fields needed by Razorpay Route are collected at onboarding and passed through to create linked accounts (SOW §8.3). SportSeek relays the data; the gateway runs KYC checks for payouts.</w:t>
      </w:r>
    </w:p>
    <w:p>
      <w:pPr>
        <w:pStyle w:val="ListParagraph"/>
        <w:numPr>
          <w:ilvl w:val="0"/>
          <w:numId w:val="3"/>
        </w:numPr>
        <w:spacing w:after="60" w:line="264"/>
      </w:pPr>
      <w:r>
        <w:rPr>
          <w:rFonts w:ascii="Arial" w:cs="Arial" w:eastAsia="Arial" w:hAnsi="Arial"/>
          <w:b/>
          <w:bCs/>
          <w:color w:val="1A1A1A"/>
        </w:rPr>
        <w:t xml:space="preserve">Ready for 2B</w:t>
      </w:r>
      <w:r>
        <w:rPr>
          <w:rFonts w:ascii="Arial" w:cs="Arial" w:eastAsia="Arial" w:hAnsi="Arial"/>
          <w:color w:val="1A1A1A"/>
        </w:rPr>
        <w:t xml:space="preserve">: availability and booking for any service type use the same engine, so the "Expert Booking Experience" is a user-experience layer on this model, not a separate marketplace (SOW §3.2, §9.6).</w:t>
      </w:r>
    </w:p>
    <w:p>
      <w:pPr>
        <w:pStyle w:val="Heading2"/>
        <w:keepNext/>
      </w:pPr>
      <w:r>
        <w:t xml:space="preserve">6.4 Booking, Events &amp; Tournaments hardening (M4 — Release 2A.2)</w:t>
      </w:r>
    </w:p>
    <w:p>
      <w:pPr>
        <w:pStyle w:val="ListParagraph"/>
        <w:numPr>
          <w:ilvl w:val="0"/>
          <w:numId w:val="3"/>
        </w:numPr>
        <w:spacing w:after="60" w:line="264"/>
      </w:pPr>
      <w:r>
        <w:rPr>
          <w:rFonts w:ascii="Arial" w:cs="Arial" w:eastAsia="Arial" w:hAnsi="Arial"/>
          <w:b/>
          <w:bCs/>
          <w:color w:val="1A1A1A"/>
        </w:rPr>
        <w:t xml:space="preserve">No double-booking by construction</w:t>
      </w:r>
      <w:r>
        <w:rPr>
          <w:rFonts w:ascii="Arial" w:cs="Arial" w:eastAsia="Arial" w:hAnsi="Arial"/>
          <w:color w:val="1A1A1A"/>
        </w:rPr>
        <w:t xml:space="preserve">: slot reservations use database-level overlap protection (a PostgreSQL exclusion constraint on resource and time range) plus short-lived holds during checkout. This does not rely on application checks alone.</w:t>
      </w:r>
    </w:p>
    <w:p>
      <w:pPr>
        <w:pStyle w:val="ListParagraph"/>
        <w:numPr>
          <w:ilvl w:val="0"/>
          <w:numId w:val="3"/>
        </w:numPr>
        <w:spacing w:after="60" w:line="264"/>
      </w:pPr>
      <w:r>
        <w:rPr>
          <w:rFonts w:ascii="Arial" w:cs="Arial" w:eastAsia="Arial" w:hAnsi="Arial"/>
          <w:b/>
          <w:bCs/>
          <w:color w:val="1A1A1A"/>
        </w:rPr>
        <w:t xml:space="preserve">Explicit state machines</w:t>
      </w:r>
      <w:r>
        <w:rPr>
          <w:rFonts w:ascii="Arial" w:cs="Arial" w:eastAsia="Arial" w:hAnsi="Arial"/>
          <w:color w:val="1A1A1A"/>
        </w:rPr>
        <w:t xml:space="preserve"> for bookings and registrations (held → confirmed → cancelled → refund pending → refunded, etc.). Transitions are validated centrally and every transition emits an event.</w:t>
      </w:r>
    </w:p>
    <w:p>
      <w:pPr>
        <w:pStyle w:val="ListParagraph"/>
        <w:numPr>
          <w:ilvl w:val="0"/>
          <w:numId w:val="3"/>
        </w:numPr>
        <w:spacing w:after="60" w:line="264"/>
      </w:pPr>
      <w:r>
        <w:rPr>
          <w:rFonts w:ascii="Arial" w:cs="Arial" w:eastAsia="Arial" w:hAnsi="Arial"/>
          <w:b/>
          <w:bCs/>
          <w:color w:val="1A1A1A"/>
        </w:rPr>
        <w:t xml:space="preserve">Cancellation &amp; refund</w:t>
      </w:r>
      <w:r>
        <w:rPr>
          <w:rFonts w:ascii="Arial" w:cs="Arial" w:eastAsia="Arial" w:hAnsi="Arial"/>
          <w:color w:val="1A1A1A"/>
        </w:rPr>
        <w:t xml:space="preserve">: a policy engine evaluates SportSeek's rules (cut-off times, percentages, non-refundable items, who approves) from configuration (D11). Refunds go through the gateway refund API to the original payment method with an idempotency key, so a retry never double-refunds (SOW §8.2).</w:t>
      </w:r>
    </w:p>
    <w:p>
      <w:pPr>
        <w:pStyle w:val="ListParagraph"/>
        <w:numPr>
          <w:ilvl w:val="0"/>
          <w:numId w:val="3"/>
        </w:numPr>
        <w:spacing w:after="60" w:line="264"/>
      </w:pPr>
      <w:r>
        <w:rPr>
          <w:rFonts w:ascii="Arial" w:cs="Arial" w:eastAsia="Arial" w:hAnsi="Arial"/>
          <w:b/>
          <w:bCs/>
          <w:color w:val="1A1A1A"/>
        </w:rPr>
        <w:t xml:space="preserve">Waitlist</w:t>
      </w:r>
      <w:r>
        <w:rPr>
          <w:rFonts w:ascii="Arial" w:cs="Arial" w:eastAsia="Arial" w:hAnsi="Arial"/>
          <w:color w:val="1A1A1A"/>
        </w:rPr>
        <w:t xml:space="preserve">: first-in, first-out queue per slot or tournament. When capacity frees up, the next person receives a time-boxed offer by Push/SMS; unclaimed offers roll to the next person automatically (SOW §10.2).</w:t>
      </w:r>
    </w:p>
    <w:p>
      <w:pPr>
        <w:pStyle w:val="ListParagraph"/>
        <w:numPr>
          <w:ilvl w:val="0"/>
          <w:numId w:val="3"/>
        </w:numPr>
        <w:spacing w:after="60" w:line="264"/>
      </w:pPr>
      <w:r>
        <w:rPr>
          <w:rFonts w:ascii="Arial" w:cs="Arial" w:eastAsia="Arial" w:hAnsi="Arial"/>
          <w:b/>
          <w:bCs/>
          <w:color w:val="1A1A1A"/>
        </w:rPr>
        <w:t xml:space="preserve">Edit-after-publish</w:t>
      </w:r>
      <w:r>
        <w:rPr>
          <w:rFonts w:ascii="Arial" w:cs="Arial" w:eastAsia="Arial" w:hAnsi="Arial"/>
          <w:color w:val="1A1A1A"/>
        </w:rPr>
        <w:t xml:space="preserve">: material changes to a published event (date, venue, format) create an "event updated" event that notifies all registered users, with the changed fields shown (SOW §9.3, §10.2).</w:t>
      </w:r>
    </w:p>
    <w:p>
      <w:pPr>
        <w:pStyle w:val="ListParagraph"/>
        <w:numPr>
          <w:ilvl w:val="0"/>
          <w:numId w:val="3"/>
        </w:numPr>
        <w:spacing w:after="60" w:line="264"/>
      </w:pPr>
      <w:r>
        <w:rPr>
          <w:rFonts w:ascii="Arial" w:cs="Arial" w:eastAsia="Arial" w:hAnsi="Arial"/>
          <w:b/>
          <w:bCs/>
          <w:color w:val="1A1A1A"/>
        </w:rPr>
        <w:t xml:space="preserve">Consistent data model</w:t>
      </w:r>
      <w:r>
        <w:rPr>
          <w:rFonts w:ascii="Arial" w:cs="Arial" w:eastAsia="Arial" w:hAnsi="Arial"/>
          <w:color w:val="1A1A1A"/>
        </w:rPr>
        <w:t xml:space="preserve">: events and tournaments reference services from the generalised Partner &amp; Service model, so later service types can host events without schema forks (SOW §9.3).</w:t>
      </w:r>
    </w:p>
    <w:p>
      <w:pPr>
        <w:pStyle w:val="ListParagraph"/>
        <w:numPr>
          <w:ilvl w:val="0"/>
          <w:numId w:val="3"/>
        </w:numPr>
        <w:spacing w:after="60" w:line="264"/>
      </w:pPr>
      <w:r>
        <w:rPr>
          <w:rFonts w:ascii="Arial" w:cs="Arial" w:eastAsia="Arial" w:hAnsi="Arial"/>
          <w:b/>
          <w:bCs/>
          <w:color w:val="1A1A1A"/>
        </w:rPr>
        <w:t xml:space="preserve">Import tools</w:t>
      </w:r>
      <w:r>
        <w:rPr>
          <w:rFonts w:ascii="Arial" w:cs="Arial" w:eastAsia="Arial" w:hAnsi="Arial"/>
          <w:color w:val="1A1A1A"/>
        </w:rPr>
        <w:t xml:space="preserve">: an offline command-line importer for completed-event data (SOW §9.3) using agreed CSV templates, schema validation, a dry-run report and idempotent re-runs.</w:t>
      </w:r>
    </w:p>
    <w:p>
      <w:pPr>
        <w:pStyle w:val="ListParagraph"/>
        <w:numPr>
          <w:ilvl w:val="0"/>
          <w:numId w:val="3"/>
        </w:numPr>
        <w:spacing w:after="60" w:line="264"/>
      </w:pPr>
      <w:r>
        <w:rPr>
          <w:rFonts w:ascii="Arial" w:cs="Arial" w:eastAsia="Arial" w:hAnsi="Arial"/>
          <w:b/>
          <w:bCs/>
          <w:color w:val="1A1A1A"/>
        </w:rPr>
        <w:t xml:space="preserve">Regression guarantee</w:t>
      </w:r>
      <w:r>
        <w:rPr>
          <w:rFonts w:ascii="Arial" w:cs="Arial" w:eastAsia="Arial" w:hAnsi="Arial"/>
          <w:color w:val="1A1A1A"/>
        </w:rPr>
        <w:t xml:space="preserve">: the automated Phase 1 regression suite, built for launch, runs on every change. SOW §9.3 requires "all Phase 1 flows continue to work unchanged".</w:t>
      </w:r>
    </w:p>
    <w:p>
      <w:pPr>
        <w:pStyle w:val="Heading2"/>
        <w:keepNext/>
      </w:pPr>
      <w:r>
        <w:t xml:space="preserve">6.5 Transaction Ledger (M3 — Release 2A.3)</w:t>
      </w:r>
    </w:p>
    <w:p>
      <w:pPr>
        <w:pStyle w:val="ListParagraph"/>
        <w:numPr>
          <w:ilvl w:val="0"/>
          <w:numId w:val="3"/>
        </w:numPr>
        <w:spacing w:after="60" w:line="264"/>
      </w:pPr>
      <w:r>
        <w:rPr>
          <w:rFonts w:ascii="Arial" w:cs="Arial" w:eastAsia="Arial" w:hAnsi="Arial"/>
          <w:b/>
          <w:bCs/>
          <w:color w:val="1A1A1A"/>
        </w:rPr>
        <w:t xml:space="preserve">What it is</w:t>
      </w:r>
      <w:r>
        <w:rPr>
          <w:rFonts w:ascii="Arial" w:cs="Arial" w:eastAsia="Arial" w:hAnsi="Arial"/>
          <w:color w:val="1A1A1A"/>
        </w:rPr>
        <w:t xml:space="preserve">: a read-side view of payment activity, sourced from gateway records. It is not a wallet: no balances, credits or refund-to-credit (SOW §8).</w:t>
      </w:r>
    </w:p>
    <w:p>
      <w:pPr>
        <w:pStyle w:val="ListParagraph"/>
        <w:numPr>
          <w:ilvl w:val="0"/>
          <w:numId w:val="3"/>
        </w:numPr>
        <w:spacing w:after="60" w:line="264"/>
      </w:pPr>
      <w:r>
        <w:rPr>
          <w:rFonts w:ascii="Arial" w:cs="Arial" w:eastAsia="Arial" w:hAnsi="Arial"/>
          <w:b/>
          <w:bCs/>
          <w:color w:val="1A1A1A"/>
        </w:rPr>
        <w:t xml:space="preserve">Ingestion</w:t>
      </w:r>
      <w:r>
        <w:rPr>
          <w:rFonts w:ascii="Arial" w:cs="Arial" w:eastAsia="Arial" w:hAnsi="Arial"/>
          <w:color w:val="1A1A1A"/>
        </w:rPr>
        <w:t xml:space="preserve">: Razorpay webhooks (payment, refund, transfer and settlement events) are verified by signature and processed idempotently. Scheduled reconciliation jobs pull from the gateway's APIs and reports to catch anything a webhook missed, so the ledger converges to the gateway within the agreed sync window (SOW §8.2).</w:t>
      </w:r>
    </w:p>
    <w:p>
      <w:pPr>
        <w:pStyle w:val="ListParagraph"/>
        <w:numPr>
          <w:ilvl w:val="0"/>
          <w:numId w:val="3"/>
        </w:numPr>
        <w:spacing w:after="60" w:line="264"/>
      </w:pPr>
      <w:r>
        <w:rPr>
          <w:rFonts w:ascii="Arial" w:cs="Arial" w:eastAsia="Arial" w:hAnsi="Arial"/>
          <w:b/>
          <w:bCs/>
          <w:color w:val="1A1A1A"/>
        </w:rPr>
        <w:t xml:space="preserve">Data model</w:t>
      </w:r>
      <w:r>
        <w:rPr>
          <w:rFonts w:ascii="Arial" w:cs="Arial" w:eastAsia="Arial" w:hAnsi="Arial"/>
          <w:color w:val="1A1A1A"/>
        </w:rPr>
        <w:t xml:space="preserve">: one row per gateway transaction, keyed on the gateway reference ID. It links to the SportSeek booking, registration or service reference, the identity and the partner. Amounts are stored as integers in the smallest currency unit to avoid rounding errors.</w:t>
      </w:r>
    </w:p>
    <w:p>
      <w:pPr>
        <w:pStyle w:val="ListParagraph"/>
        <w:numPr>
          <w:ilvl w:val="0"/>
          <w:numId w:val="3"/>
        </w:numPr>
        <w:spacing w:after="60" w:line="264"/>
      </w:pPr>
      <w:r>
        <w:rPr>
          <w:rFonts w:ascii="Arial" w:cs="Arial" w:eastAsia="Arial" w:hAnsi="Arial"/>
          <w:b/>
          <w:bCs/>
          <w:color w:val="1A1A1A"/>
        </w:rPr>
        <w:t xml:space="preserve">Screens (SOW §8.2)</w:t>
      </w:r>
      <w:r>
        <w:rPr>
          <w:rFonts w:ascii="Arial" w:cs="Arial" w:eastAsia="Arial" w:hAnsi="Arial"/>
          <w:color w:val="1A1A1A"/>
        </w:rPr>
        <w:t xml:space="preserve">: Transaction History with filters by date range, service type, partner and status, and sorting on every column; Transaction Detail; Statement Export (PDF/CSV); Refund Status Tracker; and a partner settlement view in the web application sourced from settlement reports.</w:t>
      </w:r>
    </w:p>
    <w:p>
      <w:pPr>
        <w:pStyle w:val="ListParagraph"/>
        <w:numPr>
          <w:ilvl w:val="0"/>
          <w:numId w:val="3"/>
        </w:numPr>
        <w:spacing w:after="60" w:line="264"/>
      </w:pPr>
      <w:r>
        <w:rPr>
          <w:rFonts w:ascii="Arial" w:cs="Arial" w:eastAsia="Arial" w:hAnsi="Arial"/>
          <w:b/>
          <w:bCs/>
          <w:color w:val="1A1A1A"/>
        </w:rPr>
        <w:t xml:space="preserve">Accuracy guarantee</w:t>
      </w:r>
      <w:r>
        <w:rPr>
          <w:rFonts w:ascii="Arial" w:cs="Arial" w:eastAsia="Arial" w:hAnsi="Arial"/>
          <w:color w:val="1A1A1A"/>
        </w:rPr>
        <w:t xml:space="preserve">: exports are generated from reconciled ledger rows. A daily reconciliation report flags any mismatch against the gateway, and a mismatch is treated as a defect. This directly supports the SOW criterion that the "statement export matches gateway records exactly".</w:t>
      </w:r>
    </w:p>
    <w:p>
      <w:pPr>
        <w:pStyle w:val="ListParagraph"/>
        <w:numPr>
          <w:ilvl w:val="0"/>
          <w:numId w:val="3"/>
        </w:numPr>
        <w:spacing w:after="60" w:line="264"/>
      </w:pPr>
      <w:r>
        <w:rPr>
          <w:rFonts w:ascii="Arial" w:cs="Arial" w:eastAsia="Arial" w:hAnsi="Arial"/>
          <w:b/>
          <w:bCs/>
          <w:color w:val="1A1A1A"/>
        </w:rPr>
        <w:t xml:space="preserve">Visibility</w:t>
      </w:r>
      <w:r>
        <w:rPr>
          <w:rFonts w:ascii="Arial" w:cs="Arial" w:eastAsia="Arial" w:hAnsi="Arial"/>
          <w:color w:val="1A1A1A"/>
        </w:rPr>
        <w:t xml:space="preserve">: Admin dashboard plus a partner settlement view on web, as SOW §8.1–8.2 describe. Whether users and partners also need ledger views in the mobile apps is an open SOW item (⚑, D15), and the ledger APIs are designed so those views can be added without rework.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3864" w:sz="24"/>
              <w:bottom w:val="none" w:color="FFFFFF" w:sz="0"/>
              <w:right w:val="none" w:color="FFFFFF" w:sz="0"/>
            </w:tcBorders>
            <w:shd w:fill="EAEFF8" w:color="auto" w:val="clear"/>
            <w:tcMar>
              <w:top w:type="dxa" w:w="110"/>
              <w:left w:type="dxa" w:w="180"/>
              <w:bottom w:type="dxa" w:w="110"/>
              <w:right w:type="dxa" w:w="160"/>
            </w:tcMar>
          </w:tcPr>
          <w:p>
            <w:pPr>
              <w:spacing w:after="60"/>
            </w:pPr>
            <w:r>
              <w:rPr>
                <w:rFonts w:ascii="Arial" w:cs="Arial" w:eastAsia="Arial" w:hAnsi="Arial"/>
                <w:b/>
                <w:bCs/>
                <w:color w:val="1F3864"/>
                <w:sz w:val="20"/>
                <w:szCs w:val="20"/>
              </w:rPr>
              <w:t xml:space="preserve">Compliance by architecture (SOW §8.3)</w:t>
            </w:r>
          </w:p>
          <w:p>
            <w:pPr>
              <w:spacing w:after="50" w:line="260"/>
            </w:pPr>
            <w:r>
              <w:rPr>
                <w:rFonts w:ascii="Arial" w:cs="Arial" w:eastAsia="Arial" w:hAnsi="Arial"/>
                <w:b/>
                <w:bCs/>
                <w:color w:val="1A1A1A"/>
                <w:sz w:val="19"/>
                <w:szCs w:val="19"/>
              </w:rPr>
              <w:t xml:space="preserve">RBI Payment Aggregator boundary</w:t>
            </w:r>
            <w:r>
              <w:rPr>
                <w:rFonts w:ascii="Arial" w:cs="Arial" w:eastAsia="Arial" w:hAnsi="Arial"/>
                <w:color w:val="1A1A1A"/>
                <w:sz w:val="19"/>
                <w:szCs w:val="19"/>
              </w:rPr>
              <w:t xml:space="preserve">: funds flow from payer to partner through Razorpay Route split settlement, never through a SportSeek-controlled account. We treat this as a hard architectural constraint and will not design any flow that parks funds with SportSeek.</w:t>
            </w:r>
          </w:p>
          <w:p>
            <w:pPr>
              <w:spacing w:after="50" w:line="260"/>
            </w:pPr>
            <w:r>
              <w:rPr>
                <w:rFonts w:ascii="Arial" w:cs="Arial" w:eastAsia="Arial" w:hAnsi="Arial"/>
                <w:b/>
                <w:bCs/>
                <w:color w:val="1A1A1A"/>
                <w:sz w:val="19"/>
                <w:szCs w:val="19"/>
              </w:rPr>
              <w:t xml:space="preserve">PCI-DSS scope minimisation</w:t>
            </w:r>
            <w:r>
              <w:rPr>
                <w:rFonts w:ascii="Arial" w:cs="Arial" w:eastAsia="Arial" w:hAnsi="Arial"/>
                <w:color w:val="1A1A1A"/>
                <w:sz w:val="19"/>
                <w:szCs w:val="19"/>
              </w:rPr>
              <w:t xml:space="preserve">: card and UPI credentials are only ever handled by the gateway's SDK or checkout. SportSeek systems store tokens and references only.</w:t>
            </w:r>
          </w:p>
          <w:p>
            <w:pPr>
              <w:spacing w:after="50" w:line="260"/>
            </w:pPr>
            <w:r>
              <w:rPr>
                <w:rFonts w:ascii="Arial" w:cs="Arial" w:eastAsia="Arial" w:hAnsi="Arial"/>
                <w:b/>
                <w:bCs/>
                <w:color w:val="1A1A1A"/>
                <w:sz w:val="19"/>
                <w:szCs w:val="19"/>
              </w:rPr>
              <w:t xml:space="preserve">GST</w:t>
            </w:r>
            <w:r>
              <w:rPr>
                <w:rFonts w:ascii="Arial" w:cs="Arial" w:eastAsia="Arial" w:hAnsi="Arial"/>
                <w:color w:val="1A1A1A"/>
                <w:sz w:val="19"/>
                <w:szCs w:val="19"/>
              </w:rPr>
              <w:t xml:space="preserve">: SportSeek's own commission or convenience fee is modelled as a separate revenue line so it can be invoiced separately from the underlying booking payment.</w:t>
            </w:r>
          </w:p>
          <w:p>
            <w:pPr>
              <w:spacing w:after="50" w:line="260"/>
            </w:pPr>
            <w:r>
              <w:rPr>
                <w:rFonts w:ascii="Arial" w:cs="Arial" w:eastAsia="Arial" w:hAnsi="Arial"/>
                <w:b/>
                <w:bCs/>
                <w:color w:val="1A1A1A"/>
                <w:sz w:val="19"/>
                <w:szCs w:val="19"/>
              </w:rPr>
              <w:t xml:space="preserve">DPDP Act</w:t>
            </w:r>
            <w:r>
              <w:rPr>
                <w:rFonts w:ascii="Arial" w:cs="Arial" w:eastAsia="Arial" w:hAnsi="Arial"/>
                <w:color w:val="1A1A1A"/>
                <w:sz w:val="19"/>
                <w:szCs w:val="19"/>
              </w:rPr>
              <w:t xml:space="preserve">: the ledger and identity data SportSeek stores follows the privacy controls in Section 7.2.</w:t>
            </w:r>
          </w:p>
        </w:tc>
      </w:tr>
    </w:tbl>
    <w:p>
      <w:pPr>
        <w:spacing w:after="160"/>
      </w:pPr>
    </w:p>
    <w:p>
      <w:pPr>
        <w:pStyle w:val="Heading2"/>
        <w:keepNext/>
      </w:pPr>
      <w:r>
        <w:t xml:space="preserve">6.6 Web Application (Release 2A.3, built from Dec 2026)</w:t>
      </w:r>
    </w:p>
    <w:p>
      <w:pPr>
        <w:pStyle w:val="ListParagraph"/>
        <w:numPr>
          <w:ilvl w:val="0"/>
          <w:numId w:val="3"/>
        </w:numPr>
        <w:spacing w:after="60" w:line="264"/>
      </w:pPr>
      <w:r>
        <w:rPr>
          <w:rFonts w:ascii="Arial" w:cs="Arial" w:eastAsia="Arial" w:hAnsi="Arial"/>
          <w:b/>
          <w:bCs/>
          <w:color w:val="1A1A1A"/>
        </w:rPr>
        <w:t xml:space="preserve">Scope</w:t>
      </w:r>
      <w:r>
        <w:rPr>
          <w:rFonts w:ascii="Arial" w:cs="Arial" w:eastAsia="Arial" w:hAnsi="Arial"/>
          <w:color w:val="1A1A1A"/>
        </w:rPr>
        <w:t xml:space="preserve">: all existing mobile functionality for users, event organisers and venue partners (SOW §3.1), plus each Phase 2A feature as it ships, and the partner settlement view (SOW §8.2).</w:t>
      </w:r>
    </w:p>
    <w:p>
      <w:pPr>
        <w:pStyle w:val="ListParagraph"/>
        <w:numPr>
          <w:ilvl w:val="0"/>
          <w:numId w:val="3"/>
        </w:numPr>
        <w:spacing w:after="60" w:line="264"/>
      </w:pPr>
      <w:r>
        <w:rPr>
          <w:rFonts w:ascii="Arial" w:cs="Arial" w:eastAsia="Arial" w:hAnsi="Arial"/>
          <w:b/>
          <w:bCs/>
          <w:color w:val="1A1A1A"/>
        </w:rPr>
        <w:t xml:space="preserve">One back end</w:t>
      </w:r>
      <w:r>
        <w:rPr>
          <w:rFonts w:ascii="Arial" w:cs="Arial" w:eastAsia="Arial" w:hAnsi="Arial"/>
          <w:color w:val="1A1A1A"/>
        </w:rPr>
        <w:t xml:space="preserve">: the web app uses the same APIs through the BFF. There is no duplicated business logic, so mobile and web cannot drift.</w:t>
      </w:r>
    </w:p>
    <w:p>
      <w:pPr>
        <w:pStyle w:val="ListParagraph"/>
        <w:numPr>
          <w:ilvl w:val="0"/>
          <w:numId w:val="3"/>
        </w:numPr>
        <w:spacing w:after="60" w:line="264"/>
      </w:pPr>
      <w:r>
        <w:rPr>
          <w:rFonts w:ascii="Arial" w:cs="Arial" w:eastAsia="Arial" w:hAnsi="Arial"/>
          <w:b/>
          <w:bCs/>
          <w:color w:val="1A1A1A"/>
        </w:rPr>
        <w:t xml:space="preserve">Parity matrix</w:t>
      </w:r>
      <w:r>
        <w:rPr>
          <w:rFonts w:ascii="Arial" w:cs="Arial" w:eastAsia="Arial" w:hAnsi="Arial"/>
          <w:color w:val="1A1A1A"/>
        </w:rPr>
        <w:t xml:space="preserve">: every mobile journey is listed with its web equivalent and status. The signed matrix is the acceptance artefact for "web application for all the existing functionality".</w:t>
      </w:r>
    </w:p>
    <w:p>
      <w:pPr>
        <w:pStyle w:val="ListParagraph"/>
        <w:numPr>
          <w:ilvl w:val="0"/>
          <w:numId w:val="3"/>
        </w:numPr>
        <w:spacing w:after="60" w:line="264"/>
      </w:pPr>
      <w:r>
        <w:rPr>
          <w:rFonts w:ascii="Arial" w:cs="Arial" w:eastAsia="Arial" w:hAnsi="Arial"/>
          <w:b/>
          <w:bCs/>
          <w:color w:val="1A1A1A"/>
        </w:rPr>
        <w:t xml:space="preserve">Framework (ADR-05)</w:t>
      </w:r>
      <w:r>
        <w:rPr>
          <w:rFonts w:ascii="Arial" w:cs="Arial" w:eastAsia="Arial" w:hAnsi="Arial"/>
          <w:color w:val="1A1A1A"/>
        </w:rPr>
        <w:t xml:space="preserve">: we propose </w:t>
      </w:r>
      <w:r>
        <w:rPr>
          <w:rFonts w:ascii="Arial" w:cs="Arial" w:eastAsia="Arial" w:hAnsi="Arial"/>
          <w:b/>
          <w:bCs/>
          <w:color w:val="1A1A1A"/>
        </w:rPr>
        <w:t xml:space="preserve">React with TypeScript on Next.js</w:t>
      </w:r>
      <w:r>
        <w:rPr>
          <w:rFonts w:ascii="Arial" w:cs="Arial" w:eastAsia="Arial" w:hAnsi="Arial"/>
          <w:color w:val="1A1A1A"/>
        </w:rPr>
        <w:t xml:space="preserve">. It uses the same language and React component model as the React Native apps, so SportSeek's developers and our shared design tokens work across both. It also provides server rendering for public, shareable pages such as event and tournament listings, which benefit from search visibility. We considered React Native for Web to maximise code sharing and prefer Next.js for SEO and web-native UX; the ADR records the trade-off.</w:t>
      </w:r>
    </w:p>
    <w:p>
      <w:pPr>
        <w:pStyle w:val="ListParagraph"/>
        <w:numPr>
          <w:ilvl w:val="0"/>
          <w:numId w:val="3"/>
        </w:numPr>
        <w:spacing w:after="60" w:line="264"/>
      </w:pPr>
      <w:r>
        <w:rPr>
          <w:rFonts w:ascii="Arial" w:cs="Arial" w:eastAsia="Arial" w:hAnsi="Arial"/>
          <w:b/>
          <w:bCs/>
          <w:color w:val="1A1A1A"/>
        </w:rPr>
        <w:t xml:space="preserve">Responsive and accessible</w:t>
      </w:r>
      <w:r>
        <w:rPr>
          <w:rFonts w:ascii="Arial" w:cs="Arial" w:eastAsia="Arial" w:hAnsi="Arial"/>
          <w:color w:val="1A1A1A"/>
        </w:rPr>
        <w:t xml:space="preserve">: layouts from mobile to desktop; accessibility checked against WCAG 2.1 AA criteria for key journeys; tested on current Chrome, Safari, Edge and Firefox.</w:t>
      </w:r>
    </w:p>
    <w:p>
      <w:pPr>
        <w:pStyle w:val="Heading2"/>
        <w:keepNext/>
      </w:pPr>
      <w:r>
        <w:t xml:space="preserve">6.7 Design system and UX (all releases)</w:t>
      </w:r>
    </w:p>
    <w:p>
      <w:pPr>
        <w:spacing w:after="120" w:line="276"/>
      </w:pPr>
      <w:r>
        <w:rPr>
          <w:rFonts w:ascii="Arial" w:cs="Arial" w:eastAsia="Arial" w:hAnsi="Arial"/>
          <w:color w:val="1A1A1A"/>
        </w:rPr>
        <w:t xml:space="preserve">The SOW asks for UI/UX following atomic design principles, with a uniform colour and typography system approved before development (SOW §13, §14.2). We produce one design system of design tokens, atoms, molecules, organisms and templates. It serves User, Partner, Admin and Web, so the unified platform also looks unified. Discovery includes short research sessions with players, organisers and partners to validate the new flows (account linking, role switching, cancellation, waitlist). Those are the moments where confusion creates support load.</w:t>
      </w:r>
    </w:p>
    <w:p>
      <w:pPr>
        <w:pStyle w:val="Heading1"/>
        <w:pageBreakBefore/>
      </w:pPr>
      <w:r>
        <w:t xml:space="preserve">7. Cross-cutting quality attributes (NFRs)</w:t>
      </w:r>
    </w:p>
    <w:p>
      <w:pPr>
        <w:pStyle w:val="Heading2"/>
        <w:keepNext/>
      </w:pPr>
      <w:r>
        <w:t xml:space="preserve">7.1 Security (SOW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Control area</w:t>
            </w:r>
          </w:p>
        </w:tc>
        <w:tc>
          <w:tcPr>
            <w:tcW w:type="dxa" w:w="751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Approach</w:t>
            </w:r>
          </w:p>
        </w:tc>
      </w:tr>
      <w:tr>
        <w:trPr>
          <w:cantSplit/>
        </w:trPr>
        <w:tc>
          <w:tcPr>
            <w:tcW w:type="dxa" w:w="2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Standards</w:t>
            </w:r>
          </w:p>
        </w:tc>
        <w:tc>
          <w:tcPr>
            <w:tcW w:type="dxa" w:w="75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OWASP Top 10 for web and APIs; OWASP ASVS as the verification checklist; OWASP MASVS for the mobile apps.</w:t>
            </w:r>
          </w:p>
        </w:tc>
      </w:tr>
      <w:tr>
        <w:trPr>
          <w:cantSplit/>
        </w:trPr>
        <w:tc>
          <w:tcPr>
            <w:tcW w:type="dxa" w:w="2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Identity &amp; access</w:t>
            </w:r>
          </w:p>
        </w:tc>
        <w:tc>
          <w:tcPr>
            <w:tcW w:type="dxa" w:w="75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OIDC with PKCE; short-lived tokens; refresh-token rotation; RBAC enforced server-side on every endpoint; admin actions audit-logged.</w:t>
            </w:r>
          </w:p>
        </w:tc>
      </w:tr>
      <w:tr>
        <w:trPr>
          <w:cantSplit/>
        </w:trPr>
        <w:tc>
          <w:tcPr>
            <w:tcW w:type="dxa" w:w="2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Data protection</w:t>
            </w:r>
          </w:p>
        </w:tc>
        <w:tc>
          <w:tcPr>
            <w:tcW w:type="dxa" w:w="75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TLS everywhere; encryption at rest for databases, backups and object storage; secrets in a managed secrets store; KYC documents in restricted storage with access logging.</w:t>
            </w:r>
          </w:p>
        </w:tc>
      </w:tr>
      <w:tr>
        <w:trPr>
          <w:cantSplit/>
        </w:trPr>
        <w:tc>
          <w:tcPr>
            <w:tcW w:type="dxa" w:w="2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Application security</w:t>
            </w:r>
          </w:p>
        </w:tc>
        <w:tc>
          <w:tcPr>
            <w:tcW w:type="dxa" w:w="75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Input validation, output encoding, parameterised queries, rate limiting, webhook signature verification, secure file-upload handling.</w:t>
            </w:r>
          </w:p>
        </w:tc>
      </w:tr>
      <w:tr>
        <w:trPr>
          <w:cantSplit/>
        </w:trPr>
        <w:tc>
          <w:tcPr>
            <w:tcW w:type="dxa" w:w="2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Pipeline security</w:t>
            </w:r>
          </w:p>
        </w:tc>
        <w:tc>
          <w:tcPr>
            <w:tcW w:type="dxa" w:w="75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SAST, dependency (SCA) and secret scanning on every merge; DAST on Staging; container/image scanning where containers are used.</w:t>
            </w:r>
          </w:p>
        </w:tc>
      </w:tr>
      <w:tr>
        <w:trPr>
          <w:cantSplit/>
        </w:trPr>
        <w:tc>
          <w:tcPr>
            <w:tcW w:type="dxa" w:w="2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Assurance</w:t>
            </w:r>
          </w:p>
        </w:tc>
        <w:tc>
          <w:tcPr>
            <w:tcW w:type="dxa" w:w="75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VAPT before each go-live (launch surface for 2A.0; full scope before 2A.3), with no critical or high findings open at release (SOW §14.1).</w:t>
            </w:r>
          </w:p>
        </w:tc>
      </w:tr>
    </w:tbl>
    <w:p>
      <w:pPr>
        <w:spacing w:after="140"/>
      </w:pPr>
    </w:p>
    <w:p>
      <w:pPr>
        <w:pStyle w:val="Heading2"/>
        <w:keepNext/>
      </w:pPr>
      <w:r>
        <w:t xml:space="preserve">7.2 Data privacy — DPDP Act</w:t>
      </w:r>
    </w:p>
    <w:p>
      <w:pPr>
        <w:pStyle w:val="ListParagraph"/>
        <w:numPr>
          <w:ilvl w:val="0"/>
          <w:numId w:val="3"/>
        </w:numPr>
        <w:spacing w:after="60" w:line="264"/>
      </w:pPr>
      <w:r>
        <w:rPr>
          <w:rFonts w:ascii="Arial" w:cs="Arial" w:eastAsia="Arial" w:hAnsi="Arial"/>
          <w:b/>
          <w:bCs/>
          <w:color w:val="1A1A1A"/>
        </w:rPr>
        <w:t xml:space="preserve">Notice &amp; consent</w:t>
      </w:r>
      <w:r>
        <w:rPr>
          <w:rFonts w:ascii="Arial" w:cs="Arial" w:eastAsia="Arial" w:hAnsi="Arial"/>
          <w:color w:val="1A1A1A"/>
        </w:rPr>
        <w:t xml:space="preserve">: clear notices at registration and for optional processing (e.g. marketing and WhatsApp opt-in), with consent recorded and withdrawable.</w:t>
      </w:r>
    </w:p>
    <w:p>
      <w:pPr>
        <w:pStyle w:val="ListParagraph"/>
        <w:numPr>
          <w:ilvl w:val="0"/>
          <w:numId w:val="3"/>
        </w:numPr>
        <w:spacing w:after="60" w:line="264"/>
      </w:pPr>
      <w:r>
        <w:rPr>
          <w:rFonts w:ascii="Arial" w:cs="Arial" w:eastAsia="Arial" w:hAnsi="Arial"/>
          <w:b/>
          <w:bCs/>
          <w:color w:val="1A1A1A"/>
        </w:rPr>
        <w:t xml:space="preserve">Purpose &amp; minimisation</w:t>
      </w:r>
      <w:r>
        <w:rPr>
          <w:rFonts w:ascii="Arial" w:cs="Arial" w:eastAsia="Arial" w:hAnsi="Arial"/>
          <w:color w:val="1A1A1A"/>
        </w:rPr>
        <w:t xml:space="preserve">: collect only what each role needs; KYC fields limited to what payouts and verification require.</w:t>
      </w:r>
    </w:p>
    <w:p>
      <w:pPr>
        <w:pStyle w:val="ListParagraph"/>
        <w:numPr>
          <w:ilvl w:val="0"/>
          <w:numId w:val="3"/>
        </w:numPr>
        <w:spacing w:after="60" w:line="264"/>
      </w:pPr>
      <w:r>
        <w:rPr>
          <w:rFonts w:ascii="Arial" w:cs="Arial" w:eastAsia="Arial" w:hAnsi="Arial"/>
          <w:b/>
          <w:bCs/>
          <w:color w:val="1A1A1A"/>
        </w:rPr>
        <w:t xml:space="preserve">Data principal rights</w:t>
      </w:r>
      <w:r>
        <w:rPr>
          <w:rFonts w:ascii="Arial" w:cs="Arial" w:eastAsia="Arial" w:hAnsi="Arial"/>
          <w:color w:val="1A1A1A"/>
        </w:rPr>
        <w:t xml:space="preserve">: processes for access, correction, erasure and grievance. In-app account deletion also meets app-store requirements.</w:t>
      </w:r>
    </w:p>
    <w:p>
      <w:pPr>
        <w:pStyle w:val="ListParagraph"/>
        <w:numPr>
          <w:ilvl w:val="0"/>
          <w:numId w:val="3"/>
        </w:numPr>
        <w:spacing w:after="60" w:line="264"/>
      </w:pPr>
      <w:r>
        <w:rPr>
          <w:rFonts w:ascii="Arial" w:cs="Arial" w:eastAsia="Arial" w:hAnsi="Arial"/>
          <w:b/>
          <w:bCs/>
          <w:color w:val="1A1A1A"/>
        </w:rPr>
        <w:t xml:space="preserve">Retention</w:t>
      </w:r>
      <w:r>
        <w:rPr>
          <w:rFonts w:ascii="Arial" w:cs="Arial" w:eastAsia="Arial" w:hAnsi="Arial"/>
          <w:color w:val="1A1A1A"/>
        </w:rPr>
        <w:t xml:space="preserve">: defined per data class, with financial records retained as law requires and other personal data deleted or anonymised when no longer needed.</w:t>
      </w:r>
    </w:p>
    <w:p>
      <w:pPr>
        <w:pStyle w:val="ListParagraph"/>
        <w:numPr>
          <w:ilvl w:val="0"/>
          <w:numId w:val="3"/>
        </w:numPr>
        <w:spacing w:after="60" w:line="264"/>
      </w:pPr>
      <w:r>
        <w:rPr>
          <w:rFonts w:ascii="Arial" w:cs="Arial" w:eastAsia="Arial" w:hAnsi="Arial"/>
          <w:b/>
          <w:bCs/>
          <w:color w:val="1A1A1A"/>
        </w:rPr>
        <w:t xml:space="preserve">Security safeguards &amp; breach readiness</w:t>
      </w:r>
      <w:r>
        <w:rPr>
          <w:rFonts w:ascii="Arial" w:cs="Arial" w:eastAsia="Arial" w:hAnsi="Arial"/>
          <w:color w:val="1A1A1A"/>
        </w:rPr>
        <w:t xml:space="preserve">: the controls in 7.1, plus an incident process that lets SportSeek meet its notification obligations under the DPDP Act, 2023 and the DPDP Rules as notified.</w:t>
      </w:r>
    </w:p>
    <w:p>
      <w:pPr>
        <w:pStyle w:val="ListParagraph"/>
        <w:numPr>
          <w:ilvl w:val="0"/>
          <w:numId w:val="3"/>
        </w:numPr>
        <w:spacing w:after="60" w:line="264"/>
      </w:pPr>
      <w:r>
        <w:rPr>
          <w:rFonts w:ascii="Arial" w:cs="Arial" w:eastAsia="Arial" w:hAnsi="Arial"/>
          <w:b/>
          <w:bCs/>
          <w:color w:val="1A1A1A"/>
        </w:rPr>
        <w:t xml:space="preserve">No production personal data in non-production environments.</w:t>
      </w:r>
    </w:p>
    <w:p>
      <w:pPr>
        <w:pStyle w:val="Heading2"/>
        <w:keepNext/>
      </w:pPr>
      <w:r>
        <w:t xml:space="preserve">7.3 Performance, availability and resilience</w:t>
      </w:r>
    </w:p>
    <w:p>
      <w:pPr>
        <w:pStyle w:val="ListParagraph"/>
        <w:numPr>
          <w:ilvl w:val="0"/>
          <w:numId w:val="3"/>
        </w:numPr>
        <w:spacing w:after="60" w:line="264"/>
      </w:pPr>
      <w:r>
        <w:rPr>
          <w:rFonts w:ascii="Arial" w:cs="Arial" w:eastAsia="Arial" w:hAnsi="Arial"/>
          <w:b/>
          <w:bCs/>
          <w:color w:val="1A1A1A"/>
        </w:rPr>
        <w:t xml:space="preserve">Targets</w:t>
      </w:r>
      <w:r>
        <w:rPr>
          <w:rFonts w:ascii="Arial" w:cs="Arial" w:eastAsia="Arial" w:hAnsi="Arial"/>
          <w:color w:val="1A1A1A"/>
        </w:rPr>
        <w:t xml:space="preserve">: API p95 latency, peak concurrency and uptime (e.g. 99.5%, SOW §6.2) are set by SportSeek (D20) and written into the HLD as testable numbers.</w:t>
      </w:r>
    </w:p>
    <w:p>
      <w:pPr>
        <w:pStyle w:val="ListParagraph"/>
        <w:numPr>
          <w:ilvl w:val="0"/>
          <w:numId w:val="3"/>
        </w:numPr>
        <w:spacing w:after="60" w:line="264"/>
      </w:pPr>
      <w:r>
        <w:rPr>
          <w:rFonts w:ascii="Arial" w:cs="Arial" w:eastAsia="Arial" w:hAnsi="Arial"/>
          <w:b/>
          <w:bCs/>
          <w:color w:val="1A1A1A"/>
        </w:rPr>
        <w:t xml:space="preserve">Load testing</w:t>
      </w:r>
      <w:r>
        <w:rPr>
          <w:rFonts w:ascii="Arial" w:cs="Arial" w:eastAsia="Arial" w:hAnsi="Arial"/>
          <w:color w:val="1A1A1A"/>
        </w:rPr>
        <w:t xml:space="preserve"> every release on a production-like Staging environment, covering search, availability, booking checkout, registration and ledger queries.</w:t>
      </w:r>
    </w:p>
    <w:p>
      <w:pPr>
        <w:pStyle w:val="ListParagraph"/>
        <w:numPr>
          <w:ilvl w:val="0"/>
          <w:numId w:val="3"/>
        </w:numPr>
        <w:spacing w:after="60" w:line="264"/>
      </w:pPr>
      <w:r>
        <w:rPr>
          <w:rFonts w:ascii="Arial" w:cs="Arial" w:eastAsia="Arial" w:hAnsi="Arial"/>
          <w:b/>
          <w:bCs/>
          <w:color w:val="1A1A1A"/>
        </w:rPr>
        <w:t xml:space="preserve">Design for load</w:t>
      </w:r>
      <w:r>
        <w:rPr>
          <w:rFonts w:ascii="Arial" w:cs="Arial" w:eastAsia="Arial" w:hAnsi="Arial"/>
          <w:color w:val="1A1A1A"/>
        </w:rPr>
        <w:t xml:space="preserve">: indexed geo-queries for venue search, caching of read-heavy reference data, pagination everywhere, asynchronous processing for notifications and reconciliation.</w:t>
      </w:r>
    </w:p>
    <w:p>
      <w:pPr>
        <w:pStyle w:val="ListParagraph"/>
        <w:numPr>
          <w:ilvl w:val="0"/>
          <w:numId w:val="3"/>
        </w:numPr>
        <w:spacing w:after="60" w:line="264"/>
      </w:pPr>
      <w:r>
        <w:rPr>
          <w:rFonts w:ascii="Arial" w:cs="Arial" w:eastAsia="Arial" w:hAnsi="Arial"/>
          <w:b/>
          <w:bCs/>
          <w:color w:val="1A1A1A"/>
        </w:rPr>
        <w:t xml:space="preserve">Resilience</w:t>
      </w:r>
      <w:r>
        <w:rPr>
          <w:rFonts w:ascii="Arial" w:cs="Arial" w:eastAsia="Arial" w:hAnsi="Arial"/>
          <w:color w:val="1A1A1A"/>
        </w:rPr>
        <w:t xml:space="preserve">: timeouts, retries with back-off and circuit breakers on every integration; graceful degradation (e.g. booking continues if a notification channel is down, with messages queued).</w:t>
      </w:r>
    </w:p>
    <w:p>
      <w:pPr>
        <w:pStyle w:val="ListParagraph"/>
        <w:numPr>
          <w:ilvl w:val="0"/>
          <w:numId w:val="3"/>
        </w:numPr>
        <w:spacing w:after="60" w:line="264"/>
      </w:pPr>
      <w:r>
        <w:rPr>
          <w:rFonts w:ascii="Arial" w:cs="Arial" w:eastAsia="Arial" w:hAnsi="Arial"/>
          <w:b/>
          <w:bCs/>
          <w:color w:val="1A1A1A"/>
        </w:rPr>
        <w:t xml:space="preserve">Recovery</w:t>
      </w:r>
      <w:r>
        <w:rPr>
          <w:rFonts w:ascii="Arial" w:cs="Arial" w:eastAsia="Arial" w:hAnsi="Arial"/>
          <w:color w:val="1A1A1A"/>
        </w:rPr>
        <w:t xml:space="preserve">: automated backups with point-in-time recovery; restore rehearsed before launch; documented recovery objectives agreed with SportSeek.</w:t>
      </w:r>
    </w:p>
    <w:p>
      <w:pPr>
        <w:pStyle w:val="Heading2"/>
        <w:keepNext/>
      </w:pPr>
      <w:r>
        <w:t xml:space="preserve">7.4 Observability</w:t>
      </w:r>
    </w:p>
    <w:p>
      <w:pPr>
        <w:spacing w:after="120" w:line="276"/>
      </w:pPr>
      <w:r>
        <w:rPr>
          <w:rFonts w:ascii="Arial" w:cs="Arial" w:eastAsia="Arial" w:hAnsi="Arial"/>
          <w:color w:val="1A1A1A"/>
        </w:rPr>
        <w:t xml:space="preserve">Structured logs with correlation IDs, application metrics, distributed tracing (OpenTelemetry-compatible), error tracking, uptime checks and business health dashboards such as bookings/min, payment success rate, refund backlog, notification delivery rate and ledger sync lag. Alerts go to the on-call rota with runbook links. All of it runs in SportSeek's accounts from day one (SOW §6.2).</w:t>
      </w:r>
    </w:p>
    <w:p>
      <w:pPr>
        <w:pStyle w:val="Heading1"/>
        <w:pageBreakBefore/>
      </w:pPr>
      <w:r>
        <w:t xml:space="preserve">8. Engineering practices and standards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7422"/>
      </w:tblGrid>
      <w:tr>
        <w:trPr>
          <w:cantSplit/>
          <w:tblHeader/>
        </w:trPr>
        <w:tc>
          <w:tcPr>
            <w:tcW w:type="dxa" w:w="221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Practice</w:t>
            </w:r>
          </w:p>
        </w:tc>
        <w:tc>
          <w:tcPr>
            <w:tcW w:type="dxa" w:w="742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How we work</w:t>
            </w:r>
          </w:p>
        </w:tc>
      </w:tr>
      <w:tr>
        <w:trPr>
          <w:cantSplit/>
        </w:trPr>
        <w:tc>
          <w:tcPr>
            <w:tcW w:type="dxa" w:w="22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Source control</w:t>
            </w:r>
          </w:p>
        </w:tc>
        <w:tc>
          <w:tcPr>
            <w:tcW w:type="dxa" w:w="742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SportSeek-owned repositories; trunk-based development with short-lived branches; protected main branch; clean, meaningful commit history (SOW §13).</w:t>
            </w:r>
          </w:p>
        </w:tc>
      </w:tr>
      <w:tr>
        <w:trPr>
          <w:cantSplit/>
        </w:trPr>
        <w:tc>
          <w:tcPr>
            <w:tcW w:type="dxa" w:w="22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Code review</w:t>
            </w:r>
          </w:p>
        </w:tc>
        <w:tc>
          <w:tcPr>
            <w:tcW w:type="dxa" w:w="742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Every change peer-reviewed; a checklist covering security, tests, observability and docs; SportSeek developers review and are reviewed.</w:t>
            </w:r>
          </w:p>
        </w:tc>
      </w:tr>
      <w:tr>
        <w:trPr>
          <w:cantSplit/>
        </w:trPr>
        <w:tc>
          <w:tcPr>
            <w:tcW w:type="dxa" w:w="22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Testing pyramid</w:t>
            </w:r>
          </w:p>
        </w:tc>
        <w:tc>
          <w:tcPr>
            <w:tcW w:type="dxa" w:w="742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 broad unit-test base; API and contract tests at module boundaries; a focused set of end-to-end journeys for mobile and web; coverage gates on new code.</w:t>
            </w:r>
          </w:p>
        </w:tc>
      </w:tr>
      <w:tr>
        <w:trPr>
          <w:cantSplit/>
        </w:trPr>
        <w:tc>
          <w:tcPr>
            <w:tcW w:type="dxa" w:w="22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CI/CD pipeline</w:t>
            </w:r>
          </w:p>
        </w:tc>
        <w:tc>
          <w:tcPr>
            <w:tcW w:type="dxa" w:w="742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Build → unit/API/contract tests → static analysis &amp; security scans → package → deploy to Dev → automated regression → promote the same artefact to Staging → approval → Production. Build once, promote everywhere.</w:t>
            </w:r>
          </w:p>
        </w:tc>
      </w:tr>
      <w:tr>
        <w:trPr>
          <w:cantSplit/>
        </w:trPr>
        <w:tc>
          <w:tcPr>
            <w:tcW w:type="dxa" w:w="22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Infrastructure as code</w:t>
            </w:r>
          </w:p>
        </w:tc>
        <w:tc>
          <w:tcPr>
            <w:tcW w:type="dxa" w:w="742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All environments defined as code in SportSeek's cloud accounts; no manual changes; reviewed like application code.</w:t>
            </w:r>
          </w:p>
        </w:tc>
      </w:tr>
      <w:tr>
        <w:trPr>
          <w:cantSplit/>
        </w:trPr>
        <w:tc>
          <w:tcPr>
            <w:tcW w:type="dxa" w:w="22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Database migrations</w:t>
            </w:r>
          </w:p>
        </w:tc>
        <w:tc>
          <w:tcPr>
            <w:tcW w:type="dxa" w:w="742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Versioned, automated, backward-compatible (expand → migrate → contract); every migration has a tested rollback or roll-forward plan.</w:t>
            </w:r>
          </w:p>
        </w:tc>
      </w:tr>
      <w:tr>
        <w:trPr>
          <w:cantSplit/>
        </w:trPr>
        <w:tc>
          <w:tcPr>
            <w:tcW w:type="dxa" w:w="22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Feature flags</w:t>
            </w:r>
          </w:p>
        </w:tc>
        <w:tc>
          <w:tcPr>
            <w:tcW w:type="dxa" w:w="742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Decouple deploy from release; staged enablement of new partner types, waitlist, WhatsApp; instant kill-switch.</w:t>
            </w:r>
          </w:p>
        </w:tc>
      </w:tr>
      <w:tr>
        <w:trPr>
          <w:cantSplit/>
        </w:trPr>
        <w:tc>
          <w:tcPr>
            <w:tcW w:type="dxa" w:w="22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API standards</w:t>
            </w:r>
          </w:p>
        </w:tc>
        <w:tc>
          <w:tcPr>
            <w:tcW w:type="dxa" w:w="742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REST with OpenAPI specifications; consistent errors, pagination and idempotency keys; versioning policy; Postman collections published (SOW §13).</w:t>
            </w:r>
          </w:p>
        </w:tc>
      </w:tr>
      <w:tr>
        <w:trPr>
          <w:cantSplit/>
        </w:trPr>
        <w:tc>
          <w:tcPr>
            <w:tcW w:type="dxa" w:w="22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Mobile release engineering</w:t>
            </w:r>
          </w:p>
        </w:tc>
        <w:tc>
          <w:tcPr>
            <w:tcW w:type="dxa" w:w="742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Automated builds and signing; phased store rollouts; crash and performance monitoring; minimum-version enforcement.</w:t>
            </w:r>
          </w:p>
        </w:tc>
      </w:tr>
      <w:tr>
        <w:trPr>
          <w:cantSplit/>
        </w:trPr>
        <w:tc>
          <w:tcPr>
            <w:tcW w:type="dxa" w:w="22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Documentation</w:t>
            </w:r>
          </w:p>
        </w:tc>
        <w:tc>
          <w:tcPr>
            <w:tcW w:type="dxa" w:w="742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HLD, LLD, ADRs, ERDs, runbooks and API docs kept as code next to the system and updated as part of Definition of Done. Architecture diagrams reflect the actual build (SOW §13).</w:t>
            </w:r>
          </w:p>
        </w:tc>
      </w:tr>
    </w:tbl>
    <w:p>
      <w:pPr>
        <w:spacing w:after="140"/>
      </w:pPr>
    </w:p>
    <w:p>
      <w:pPr>
        <w:pStyle w:val="Heading1"/>
        <w:pageBreakBefore/>
      </w:pPr>
      <w:r>
        <w:t xml:space="preserve">9. Technical plan for the 20 October 2026 launch</w:t>
      </w:r>
    </w:p>
    <w:p>
      <w:pPr>
        <w:spacing w:after="120" w:line="276"/>
      </w:pPr>
      <w:r>
        <w:rPr>
          <w:rFonts w:ascii="Arial" w:cs="Arial" w:eastAsia="Arial" w:hAnsi="Arial"/>
          <w:color w:val="1A1A1A"/>
        </w:rPr>
        <w:t xml:space="preserve">For launch we deliberately avoid changes to identity, payments or the data model. The engineering work is about making the existing system safe, visible and recoverable under public 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5011"/>
        <w:gridCol w:w="2411"/>
      </w:tblGrid>
      <w:tr>
        <w:trPr>
          <w:cantSplit/>
          <w:tblHeader/>
        </w:trPr>
        <w:tc>
          <w:tcPr>
            <w:tcW w:type="dxa" w:w="221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Workstream</w:t>
            </w:r>
          </w:p>
        </w:tc>
        <w:tc>
          <w:tcPr>
            <w:tcW w:type="dxa" w:w="501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Technical actions</w:t>
            </w:r>
          </w:p>
        </w:tc>
        <w:tc>
          <w:tcPr>
            <w:tcW w:type="dxa" w:w="241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Done when</w:t>
            </w:r>
          </w:p>
        </w:tc>
      </w:tr>
      <w:tr>
        <w:trPr>
          <w:cantSplit/>
        </w:trPr>
        <w:tc>
          <w:tcPr>
            <w:tcW w:type="dxa" w:w="22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Stability</w:t>
            </w:r>
          </w:p>
        </w:tc>
        <w:tc>
          <w:tcPr>
            <w:tcW w:type="dxa" w:w="50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Triage the defect backlog; fix critical/high issues in launch journeys; add automated regression for those journeys</w:t>
            </w:r>
          </w:p>
        </w:tc>
        <w:tc>
          <w:tcPr>
            <w:tcW w:type="dxa" w:w="24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No open S1/S2 in launch scope</w:t>
            </w:r>
          </w:p>
        </w:tc>
      </w:tr>
      <w:tr>
        <w:trPr>
          <w:cantSplit/>
        </w:trPr>
        <w:tc>
          <w:tcPr>
            <w:tcW w:type="dxa" w:w="22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Security</w:t>
            </w:r>
          </w:p>
        </w:tc>
        <w:tc>
          <w:tcPr>
            <w:tcW w:type="dxa" w:w="50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SAST, dependency, secret and DAST scans; VAPT of the launch surface; fix critical/high; harden headers, rate limits and OTP abuse controls</w:t>
            </w:r>
          </w:p>
        </w:tc>
        <w:tc>
          <w:tcPr>
            <w:tcW w:type="dxa" w:w="24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VAPT retest clean for critical/high</w:t>
            </w:r>
          </w:p>
        </w:tc>
      </w:tr>
      <w:tr>
        <w:trPr>
          <w:cantSplit/>
        </w:trPr>
        <w:tc>
          <w:tcPr>
            <w:tcW w:type="dxa" w:w="22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Performance</w:t>
            </w:r>
          </w:p>
        </w:tc>
        <w:tc>
          <w:tcPr>
            <w:tcW w:type="dxa" w:w="50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Load test the key journeys at SportSeek's launch concurrency (D5); tune queries, indexes and scaling settings</w:t>
            </w:r>
          </w:p>
        </w:tc>
        <w:tc>
          <w:tcPr>
            <w:tcW w:type="dxa" w:w="24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Targets met with headroom</w:t>
            </w:r>
          </w:p>
        </w:tc>
      </w:tr>
      <w:tr>
        <w:trPr>
          <w:cantSplit/>
        </w:trPr>
        <w:tc>
          <w:tcPr>
            <w:tcW w:type="dxa" w:w="22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Observability</w:t>
            </w:r>
          </w:p>
        </w:tc>
        <w:tc>
          <w:tcPr>
            <w:tcW w:type="dxa" w:w="50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Central logs, error tracking, uptime checks, dashboards and alerting with on-call routing</w:t>
            </w:r>
          </w:p>
        </w:tc>
        <w:tc>
          <w:tcPr>
            <w:tcW w:type="dxa" w:w="24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Dashboards and alerts verified in a drill</w:t>
            </w:r>
          </w:p>
        </w:tc>
      </w:tr>
      <w:tr>
        <w:trPr>
          <w:cantSplit/>
        </w:trPr>
        <w:tc>
          <w:tcPr>
            <w:tcW w:type="dxa" w:w="22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Recoverability</w:t>
            </w:r>
          </w:p>
        </w:tc>
        <w:tc>
          <w:tcPr>
            <w:tcW w:type="dxa" w:w="50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Verify backups and a timed restore; rollback plan for the release</w:t>
            </w:r>
          </w:p>
        </w:tc>
        <w:tc>
          <w:tcPr>
            <w:tcW w:type="dxa" w:w="24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Restore and rollback rehearsed on Staging</w:t>
            </w:r>
          </w:p>
        </w:tc>
      </w:tr>
      <w:tr>
        <w:trPr>
          <w:cantSplit/>
        </w:trPr>
        <w:tc>
          <w:tcPr>
            <w:tcW w:type="dxa" w:w="22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Store &amp; privacy</w:t>
            </w:r>
          </w:p>
        </w:tc>
        <w:tc>
          <w:tcPr>
            <w:tcW w:type="dxa" w:w="50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Check store policies (privacy labels, permissions, in-app account deletion); publish privacy policy and DPDP notice</w:t>
            </w:r>
          </w:p>
        </w:tc>
        <w:tc>
          <w:tcPr>
            <w:tcW w:type="dxa" w:w="241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Submissions accepted or on track</w:t>
            </w:r>
          </w:p>
        </w:tc>
      </w:tr>
      <w:tr>
        <w:trPr>
          <w:cantSplit/>
        </w:trPr>
        <w:tc>
          <w:tcPr>
            <w:tcW w:type="dxa" w:w="22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Payments sanity</w:t>
            </w:r>
          </w:p>
        </w:tc>
        <w:tc>
          <w:tcPr>
            <w:tcW w:type="dxa" w:w="50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End-to-end payment, webhook and failure-path verification against the live gateway configuration</w:t>
            </w:r>
          </w:p>
        </w:tc>
        <w:tc>
          <w:tcPr>
            <w:tcW w:type="dxa" w:w="241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Test transactions reconciled</w:t>
            </w:r>
          </w:p>
        </w:tc>
      </w:tr>
    </w:tbl>
    <w:p>
      <w:pPr>
        <w:spacing w:after="140"/>
      </w:pPr>
    </w:p>
    <w:p>
      <w:pPr>
        <w:pStyle w:val="Heading1"/>
        <w:pageBreakBefore/>
      </w:pPr>
      <w:r>
        <w:t xml:space="preserve">10. Data migration approach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5204"/>
        <w:gridCol w:w="2218"/>
      </w:tblGrid>
      <w:tr>
        <w:trPr>
          <w:cantSplit/>
          <w:tblHeader/>
        </w:trPr>
        <w:tc>
          <w:tcPr>
            <w:tcW w:type="dxa" w:w="221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Migration</w:t>
            </w:r>
          </w:p>
        </w:tc>
        <w:tc>
          <w:tcPr>
            <w:tcW w:type="dxa" w:w="520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Approach</w:t>
            </w:r>
          </w:p>
        </w:tc>
        <w:tc>
          <w:tcPr>
            <w:tcW w:type="dxa" w:w="221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Controls</w:t>
            </w:r>
          </w:p>
        </w:tc>
      </w:tr>
      <w:tr>
        <w:trPr>
          <w:cantSplit/>
        </w:trPr>
        <w:tc>
          <w:tcPr>
            <w:tcW w:type="dxa" w:w="22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Identity consolidation (2A.1)</w:t>
            </w:r>
          </w:p>
        </w:tc>
        <w:tc>
          <w:tcPr>
            <w:tcW w:type="dxa" w:w="52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Detect duplicates on verified phone/email; apply SportSeek-approved merge rules; re-point bookings, events and partner records; keep a mapping table for audit</w:t>
            </w:r>
          </w:p>
        </w:tc>
        <w:tc>
          <w:tcPr>
            <w:tcW w:type="dxa" w:w="22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Dry-runs on Staging; record counts reconciled; rollback script</w:t>
            </w:r>
          </w:p>
        </w:tc>
      </w:tr>
      <w:tr>
        <w:trPr>
          <w:cantSplit/>
        </w:trPr>
        <w:tc>
          <w:tcPr>
            <w:tcW w:type="dxa" w:w="22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Facilities → generalised services (2A.2)</w:t>
            </w:r>
          </w:p>
        </w:tc>
        <w:tc>
          <w:tcPr>
            <w:tcW w:type="dxa" w:w="52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Create the "Facility" type; migrate records and amenities; dual-read behind a feature flag until verified</w:t>
            </w:r>
          </w:p>
        </w:tc>
        <w:tc>
          <w:tcPr>
            <w:tcW w:type="dxa" w:w="22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Full facility regression; zero change in partner experience</w:t>
            </w:r>
          </w:p>
        </w:tc>
      </w:tr>
      <w:tr>
        <w:trPr>
          <w:cantSplit/>
        </w:trPr>
        <w:tc>
          <w:tcPr>
            <w:tcW w:type="dxa" w:w="221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Historical events import (2A.3)</w:t>
            </w:r>
          </w:p>
        </w:tc>
        <w:tc>
          <w:tcPr>
            <w:tcW w:type="dxa" w:w="520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CSV templates; validation and dry-run reports; idempotent loads (SOW §9.3)</w:t>
            </w:r>
          </w:p>
        </w:tc>
        <w:tc>
          <w:tcPr>
            <w:tcW w:type="dxa" w:w="22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Import reports signed off by SportSeek</w:t>
            </w:r>
          </w:p>
        </w:tc>
      </w:tr>
      <w:tr>
        <w:trPr>
          <w:cantSplit/>
        </w:trPr>
        <w:tc>
          <w:tcPr>
            <w:tcW w:type="dxa" w:w="221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Ledger back-fill (2A.3)</w:t>
            </w:r>
          </w:p>
        </w:tc>
        <w:tc>
          <w:tcPr>
            <w:tcW w:type="dxa" w:w="520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Back-fill historical gateway transactions from gateway APIs and reports</w:t>
            </w:r>
          </w:p>
        </w:tc>
        <w:tc>
          <w:tcPr>
            <w:tcW w:type="dxa" w:w="22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Totals reconciled to gateway reports</w:t>
            </w:r>
          </w:p>
        </w:tc>
      </w:tr>
    </w:tbl>
    <w:p>
      <w:pPr>
        <w:spacing w:after="140"/>
      </w:pPr>
    </w:p>
    <w:p>
      <w:pPr>
        <w:pStyle w:val="Heading1"/>
        <w:pageBreakBefore/>
      </w:pPr>
      <w:r>
        <w:t xml:space="preserve">11. Key technical decisions (ADR backlog)</w:t>
      </w:r>
    </w:p>
    <w:p>
      <w:pPr>
        <w:spacing w:after="120" w:line="276"/>
      </w:pPr>
      <w:r>
        <w:rPr>
          <w:rFonts w:ascii="Arial" w:cs="Arial" w:eastAsia="Arial" w:hAnsi="Arial"/>
          <w:color w:val="1A1A1A"/>
        </w:rPr>
        <w:t xml:space="preserve">These decisions are made in the HLD with SportSeek. Each ADR records the context, the options, the decision and its consequences.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8"/>
        <w:gridCol w:w="2620"/>
        <w:gridCol w:w="2994"/>
        <w:gridCol w:w="2245"/>
        <w:gridCol w:w="1031"/>
      </w:tblGrid>
      <w:tr>
        <w:trPr>
          <w:cantSplit/>
          <w:tblHeader/>
        </w:trPr>
        <w:tc>
          <w:tcPr>
            <w:tcW w:type="dxa" w:w="74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ADR</w:t>
            </w:r>
          </w:p>
        </w:tc>
        <w:tc>
          <w:tcPr>
            <w:tcW w:type="dxa" w:w="262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Decision</w:t>
            </w:r>
          </w:p>
        </w:tc>
        <w:tc>
          <w:tcPr>
            <w:tcW w:type="dxa" w:w="2994"/>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Options considered</w:t>
            </w:r>
          </w:p>
        </w:tc>
        <w:tc>
          <w:tcPr>
            <w:tcW w:type="dxa" w:w="2245"/>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Our leaning / criteria</w:t>
            </w:r>
          </w:p>
        </w:tc>
        <w:tc>
          <w:tcPr>
            <w:tcW w:type="dxa" w:w="1031"/>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7"/>
                <w:szCs w:val="17"/>
              </w:rPr>
              <w:t xml:space="preserve">Decide by</w:t>
            </w:r>
          </w:p>
        </w:tc>
      </w:tr>
      <w:tr>
        <w:trPr>
          <w:cantSplit/>
        </w:trPr>
        <w:tc>
          <w:tcPr>
            <w:tcW w:type="dxa" w:w="74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01</w:t>
            </w:r>
          </w:p>
        </w:tc>
        <w:tc>
          <w:tcPr>
            <w:tcW w:type="dxa" w:w="26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Identity provider</w:t>
            </w:r>
          </w:p>
        </w:tc>
        <w:tc>
          <w:tcPr>
            <w:tcW w:type="dxa" w:w="299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ASP.NET Core Identity + OpenIddict; Keycloak; managed identity service</w:t>
            </w:r>
          </w:p>
        </w:tc>
        <w:tc>
          <w:tcPr>
            <w:tcW w:type="dxa" w:w="22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OpenIddict within the .NET estate (subject to assessment)</w:t>
            </w:r>
          </w:p>
        </w:tc>
        <w:tc>
          <w:tcPr>
            <w:tcW w:type="dxa" w:w="10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06 Nov 2026</w:t>
            </w:r>
          </w:p>
        </w:tc>
      </w:tr>
      <w:tr>
        <w:trPr>
          <w:cantSplit/>
        </w:trPr>
        <w:tc>
          <w:tcPr>
            <w:tcW w:type="dxa" w:w="74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02</w:t>
            </w:r>
          </w:p>
        </w:tc>
        <w:tc>
          <w:tcPr>
            <w:tcW w:type="dxa" w:w="26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Message broker for event bus</w:t>
            </w:r>
          </w:p>
        </w:tc>
        <w:tc>
          <w:tcPr>
            <w:tcW w:type="dxa" w:w="299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Managed queue/stream service in SportSeek's cloud vs self-managed</w:t>
            </w:r>
          </w:p>
        </w:tc>
        <w:tc>
          <w:tcPr>
            <w:tcW w:type="dxa" w:w="22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Managed service, with a transactional outbox either way</w:t>
            </w:r>
          </w:p>
        </w:tc>
        <w:tc>
          <w:tcPr>
            <w:tcW w:type="dxa" w:w="103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06 Nov 2026</w:t>
            </w:r>
          </w:p>
        </w:tc>
      </w:tr>
      <w:tr>
        <w:trPr>
          <w:cantSplit/>
        </w:trPr>
        <w:tc>
          <w:tcPr>
            <w:tcW w:type="dxa" w:w="74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03</w:t>
            </w:r>
          </w:p>
        </w:tc>
        <w:tc>
          <w:tcPr>
            <w:tcW w:type="dxa" w:w="26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Service-type attribute storage</w:t>
            </w:r>
          </w:p>
        </w:tc>
        <w:tc>
          <w:tcPr>
            <w:tcW w:type="dxa" w:w="299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PostgreSQL JSONB + JSON Schema; entity-attribute-value; table per type</w:t>
            </w:r>
          </w:p>
        </w:tc>
        <w:tc>
          <w:tcPr>
            <w:tcW w:type="dxa" w:w="22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JSONB + schema validation, mapped through EF Core</w:t>
            </w:r>
          </w:p>
        </w:tc>
        <w:tc>
          <w:tcPr>
            <w:tcW w:type="dxa" w:w="10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06 Nov 2026</w:t>
            </w:r>
          </w:p>
        </w:tc>
      </w:tr>
      <w:tr>
        <w:trPr>
          <w:cantSplit/>
        </w:trPr>
        <w:tc>
          <w:tcPr>
            <w:tcW w:type="dxa" w:w="74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04</w:t>
            </w:r>
          </w:p>
        </w:tc>
        <w:tc>
          <w:tcPr>
            <w:tcW w:type="dxa" w:w="26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Notification providers</w:t>
            </w:r>
          </w:p>
        </w:tc>
        <w:tc>
          <w:tcPr>
            <w:tcW w:type="dxa" w:w="299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Existing SMS; WhatsApp BSP; Email provider; FCM/APNs</w:t>
            </w:r>
          </w:p>
        </w:tc>
        <w:tc>
          <w:tcPr>
            <w:tcW w:type="dxa" w:w="22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SportSeek-contracted providers (SOW §15)</w:t>
            </w:r>
          </w:p>
        </w:tc>
        <w:tc>
          <w:tcPr>
            <w:tcW w:type="dxa" w:w="103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27 Nov 2026</w:t>
            </w:r>
          </w:p>
        </w:tc>
      </w:tr>
      <w:tr>
        <w:trPr>
          <w:cantSplit/>
        </w:trPr>
        <w:tc>
          <w:tcPr>
            <w:tcW w:type="dxa" w:w="74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05</w:t>
            </w:r>
          </w:p>
        </w:tc>
        <w:tc>
          <w:tcPr>
            <w:tcW w:type="dxa" w:w="26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Web framework</w:t>
            </w:r>
          </w:p>
        </w:tc>
        <w:tc>
          <w:tcPr>
            <w:tcW w:type="dxa" w:w="299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React + Next.js; React Native for Web; React SPA</w:t>
            </w:r>
          </w:p>
        </w:tc>
        <w:tc>
          <w:tcPr>
            <w:tcW w:type="dxa" w:w="22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React + Next.js (SEO, shared React/TypeScript skills)</w:t>
            </w:r>
          </w:p>
        </w:tc>
        <w:tc>
          <w:tcPr>
            <w:tcW w:type="dxa" w:w="10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13 Nov 2026</w:t>
            </w:r>
          </w:p>
        </w:tc>
      </w:tr>
      <w:tr>
        <w:trPr>
          <w:cantSplit/>
        </w:trPr>
        <w:tc>
          <w:tcPr>
            <w:tcW w:type="dxa" w:w="74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06</w:t>
            </w:r>
          </w:p>
        </w:tc>
        <w:tc>
          <w:tcPr>
            <w:tcW w:type="dxa" w:w="26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Feature-flag mechanism</w:t>
            </w:r>
          </w:p>
        </w:tc>
        <w:tc>
          <w:tcPr>
            <w:tcW w:type="dxa" w:w="2994"/>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Library + config in DB; managed flag service</w:t>
            </w:r>
          </w:p>
        </w:tc>
        <w:tc>
          <w:tcPr>
            <w:tcW w:type="dxa" w:w="2245"/>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Simple and auditable; SportSeek-owned</w:t>
            </w:r>
          </w:p>
        </w:tc>
        <w:tc>
          <w:tcPr>
            <w:tcW w:type="dxa" w:w="1031"/>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13 Nov 2026</w:t>
            </w:r>
          </w:p>
        </w:tc>
      </w:tr>
      <w:tr>
        <w:trPr>
          <w:cantSplit/>
        </w:trPr>
        <w:tc>
          <w:tcPr>
            <w:tcW w:type="dxa" w:w="74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07</w:t>
            </w:r>
          </w:p>
        </w:tc>
        <w:tc>
          <w:tcPr>
            <w:tcW w:type="dxa" w:w="26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API versioning &amp; min-version policy</w:t>
            </w:r>
          </w:p>
        </w:tc>
        <w:tc>
          <w:tcPr>
            <w:tcW w:type="dxa" w:w="2994"/>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URI vs header versioning; forced vs soft upgrade</w:t>
            </w:r>
          </w:p>
        </w:tc>
        <w:tc>
          <w:tcPr>
            <w:tcW w:type="dxa" w:w="2245"/>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Explicit versions; minimum-version check at app start</w:t>
            </w:r>
          </w:p>
        </w:tc>
        <w:tc>
          <w:tcPr>
            <w:tcW w:type="dxa" w:w="1031"/>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7"/>
                <w:szCs w:val="17"/>
              </w:rPr>
              <w:t xml:space="preserve">13 Nov 2026</w:t>
            </w:r>
          </w:p>
        </w:tc>
      </w:tr>
    </w:tbl>
    <w:p>
      <w:pPr>
        <w:spacing w:after="140"/>
      </w:pPr>
    </w:p>
    <w:p>
      <w:pPr>
        <w:pStyle w:val="Heading1"/>
        <w:pageBreakBefore/>
      </w:pPr>
      <w:r>
        <w:t xml:space="preserve">12. Technical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cantSplit/>
          <w:tblHeader/>
        </w:trPr>
        <w:tc>
          <w:tcPr>
            <w:tcW w:type="dxa" w:w="327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Risk</w:t>
            </w:r>
          </w:p>
        </w:tc>
        <w:tc>
          <w:tcPr>
            <w:tcW w:type="dxa" w:w="636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Mitigation</w:t>
            </w:r>
          </w:p>
        </w:tc>
      </w:tr>
      <w:tr>
        <w:trPr>
          <w:cantSplit/>
        </w:trPr>
        <w:tc>
          <w:tcPr>
            <w:tcW w:type="dxa" w:w="32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Phase 1 code quality, or .NET / React Native versions near end of support</w:t>
            </w:r>
          </w:p>
        </w:tc>
        <w:tc>
          <w:tcPr>
            <w:tcW w:type="dxa" w:w="636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Assessment first; upgrade needs raised as ADRs with evidence; framework upgrades scheduled outside launch freeze; change control if scope shifts</w:t>
            </w:r>
          </w:p>
        </w:tc>
      </w:tr>
      <w:tr>
        <w:trPr>
          <w:cantSplit/>
        </w:trPr>
        <w:tc>
          <w:tcPr>
            <w:tcW w:type="dxa" w:w="32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Duplicate identities and ambiguous merges</w:t>
            </w:r>
          </w:p>
        </w:tc>
        <w:tc>
          <w:tcPr>
            <w:tcW w:type="dxa" w:w="636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OTP-verified linking; approved merge rules; staged dry-runs; audit mapping table</w:t>
            </w:r>
          </w:p>
        </w:tc>
      </w:tr>
      <w:tr>
        <w:trPr>
          <w:cantSplit/>
        </w:trPr>
        <w:tc>
          <w:tcPr>
            <w:tcW w:type="dxa" w:w="32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Route capability or KYC flows differ for new partner types</w:t>
            </w:r>
          </w:p>
        </w:tc>
        <w:tc>
          <w:tcPr>
            <w:tcW w:type="dxa" w:w="636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Confirm with Razorpay by 6 Nov (D10); sandbox proof-of-concept in S1</w:t>
            </w:r>
          </w:p>
        </w:tc>
      </w:tr>
      <w:tr>
        <w:trPr>
          <w:cantSplit/>
        </w:trPr>
        <w:tc>
          <w:tcPr>
            <w:tcW w:type="dxa" w:w="32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Regression in live booking/payment flows</w:t>
            </w:r>
          </w:p>
        </w:tc>
        <w:tc>
          <w:tcPr>
            <w:tcW w:type="dxa" w:w="636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Automated regression as a merge gate; feature flags; canary/phased rollouts</w:t>
            </w:r>
          </w:p>
        </w:tc>
      </w:tr>
      <w:tr>
        <w:trPr>
          <w:cantSplit/>
        </w:trPr>
        <w:tc>
          <w:tcPr>
            <w:tcW w:type="dxa" w:w="32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Notification template approvals (DLT, WhatsApp) delay go-live</w:t>
            </w:r>
          </w:p>
        </w:tc>
        <w:tc>
          <w:tcPr>
            <w:tcW w:type="dxa" w:w="636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Submit templates early (D12, D13); channel fallback; flag-controlled enablement</w:t>
            </w:r>
          </w:p>
        </w:tc>
      </w:tr>
      <w:tr>
        <w:trPr>
          <w:cantSplit/>
        </w:trPr>
        <w:tc>
          <w:tcPr>
            <w:tcW w:type="dxa" w:w="32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Old mobile clients break on new APIs</w:t>
            </w:r>
          </w:p>
        </w:tc>
        <w:tc>
          <w:tcPr>
            <w:tcW w:type="dxa" w:w="636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Versioned APIs; compatibility tests; minimum-version enforcement</w:t>
            </w:r>
          </w:p>
        </w:tc>
      </w:tr>
    </w:tbl>
    <w:p>
      <w:pPr>
        <w:spacing w:after="140"/>
      </w:pPr>
    </w:p>
    <w:p>
      <w:pPr>
        <w:pStyle w:val="Heading1"/>
        <w:pageBreakBefore/>
      </w:pPr>
      <w:r>
        <w:t xml:space="preserve">13. Why Srivin Platforms</w:t>
      </w:r>
    </w:p>
    <w:p>
      <w:pPr>
        <w:spacing w:after="120" w:line="276"/>
      </w:pPr>
      <w:r>
        <w:rPr>
          <w:rFonts w:ascii="Arial" w:cs="Arial" w:eastAsia="Arial" w:hAnsi="Arial"/>
          <w:color w:val="1A1A1A"/>
        </w:rPr>
        <w:t xml:space="preserve">SportSeek needs a partner that can do three things at once: launch safely in weeks, re-foundation a live platform over months, and leave SportSeek stronger and more independent at the end. This approach is built for exactly that combination: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6362"/>
      </w:tblGrid>
      <w:tr>
        <w:trPr>
          <w:cantSplit/>
          <w:tblHeader/>
        </w:trPr>
        <w:tc>
          <w:tcPr>
            <w:tcW w:type="dxa" w:w="3276"/>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What SportSeek needs</w:t>
            </w:r>
          </w:p>
        </w:tc>
        <w:tc>
          <w:tcPr>
            <w:tcW w:type="dxa" w:w="6362"/>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What Srivin brings in this proposal</w:t>
            </w:r>
          </w:p>
        </w:tc>
      </w:tr>
      <w:tr>
        <w:trPr>
          <w:cantSplit/>
        </w:trPr>
        <w:tc>
          <w:tcPr>
            <w:tcW w:type="dxa" w:w="32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 public launch on 20 Oct 2026 that does not backfire</w:t>
            </w:r>
          </w:p>
        </w:tc>
        <w:tc>
          <w:tcPr>
            <w:tcW w:type="dxa" w:w="636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 launch plan with a Scope Gate, code freeze, VAPT, load test, rehearsed rollback and a Go/No-Go that SportSeek controls. Honest about what fits the date.</w:t>
            </w:r>
          </w:p>
        </w:tc>
      </w:tr>
      <w:tr>
        <w:trPr>
          <w:cantSplit/>
        </w:trPr>
        <w:tc>
          <w:tcPr>
            <w:tcW w:type="dxa" w:w="32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Identity unified without duplicates or takeovers</w:t>
            </w:r>
          </w:p>
        </w:tc>
        <w:tc>
          <w:tcPr>
            <w:tcW w:type="dxa" w:w="636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An account-linking design with ownership proof, reconciliation of existing data, and an automated acceptance test. It goes beyond the SOW's requirement to detect matches.</w:t>
            </w:r>
          </w:p>
        </w:tc>
      </w:tr>
      <w:tr>
        <w:trPr>
          <w:cantSplit/>
        </w:trPr>
        <w:tc>
          <w:tcPr>
            <w:tcW w:type="dxa" w:w="32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Payments that stay compliance-light</w:t>
            </w:r>
          </w:p>
        </w:tc>
        <w:tc>
          <w:tcPr>
            <w:tcW w:type="dxa" w:w="636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Gateway-native ledger with reconciliation, Route split settlement as a hard constraint, PCI scope kept minimal, and separate modelling of SportSeek's own fee revenue.</w:t>
            </w:r>
          </w:p>
        </w:tc>
      </w:tr>
      <w:tr>
        <w:trPr>
          <w:cantSplit/>
        </w:trPr>
        <w:tc>
          <w:tcPr>
            <w:tcW w:type="dxa" w:w="32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 platform that grows into 2B/2C</w:t>
            </w:r>
          </w:p>
        </w:tc>
        <w:tc>
          <w:tcPr>
            <w:tcW w:type="dxa" w:w="636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 service-type model that makes expert booking an extension; a domain-event taxonomy that feeds analytics; a modular monolith with extraction paths.</w:t>
            </w:r>
          </w:p>
        </w:tc>
      </w:tr>
      <w:tr>
        <w:trPr>
          <w:cantSplit/>
        </w:trPr>
        <w:tc>
          <w:tcPr>
            <w:tcW w:type="dxa" w:w="3276"/>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Ownership and independence</w:t>
            </w:r>
          </w:p>
        </w:tc>
        <w:tc>
          <w:tcPr>
            <w:tcW w:type="dxa" w:w="6362"/>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Everything in SportSeek's accounts; embedded SportSeek developers; KT every milestone with shadow and reverse-shadow; documentation as code.</w:t>
            </w:r>
          </w:p>
        </w:tc>
      </w:tr>
      <w:tr>
        <w:trPr>
          <w:cantSplit/>
        </w:trPr>
        <w:tc>
          <w:tcPr>
            <w:tcW w:type="dxa" w:w="3276"/>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Predictability</w:t>
            </w:r>
          </w:p>
        </w:tc>
        <w:tc>
          <w:tcPr>
            <w:tcW w:type="dxa" w:w="6362"/>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 dated plan with explicit dependencies and critical path, stage gates and weekly transparency (see the WBS &amp; Integrated Project Plan and the Project Delivery Model).</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F6E7A" w:sz="24"/>
              <w:bottom w:val="none" w:color="FFFFFF" w:sz="0"/>
              <w:right w:val="none" w:color="FFFFFF" w:sz="0"/>
            </w:tcBorders>
            <w:shd w:fill="E8F1F2" w:color="auto" w:val="clear"/>
            <w:tcMar>
              <w:top w:type="dxa" w:w="110"/>
              <w:left w:type="dxa" w:w="180"/>
              <w:bottom w:type="dxa" w:w="110"/>
              <w:right w:type="dxa" w:w="160"/>
            </w:tcMar>
          </w:tcPr>
          <w:p>
            <w:pPr>
              <w:spacing w:after="60"/>
            </w:pPr>
            <w:r>
              <w:rPr>
                <w:rFonts w:ascii="Arial" w:cs="Arial" w:eastAsia="Arial" w:hAnsi="Arial"/>
                <w:b/>
                <w:bCs/>
                <w:color w:val="0F6E7A"/>
                <w:sz w:val="20"/>
                <w:szCs w:val="20"/>
              </w:rPr>
              <w:t xml:space="preserve">Srivin credentials — to be completed by Srivin Platforms before issue</w:t>
            </w:r>
          </w:p>
          <w:p>
            <w:pPr>
              <w:spacing w:after="50" w:line="260"/>
            </w:pPr>
            <w:r>
              <w:rPr>
                <w:rFonts w:ascii="Arial" w:cs="Arial" w:eastAsia="Arial" w:hAnsi="Arial"/>
                <w:color w:val="1A1A1A"/>
                <w:sz w:val="19"/>
                <w:szCs w:val="19"/>
              </w:rPr>
              <w:t xml:space="preserve">[Insert relevant case studies, platform references, team profiles of named key personnel and any certifications. Only verified, client-approved references should be included.]</w:t>
            </w:r>
          </w:p>
        </w:tc>
      </w:tr>
    </w:tbl>
    <w:p>
      <w:pPr>
        <w:spacing w:after="160"/>
      </w:pPr>
    </w:p>
    <w:p>
      <w:pPr>
        <w:pStyle w:val="Heading1"/>
        <w:pageBreakBefore/>
      </w:pPr>
      <w:r>
        <w:t xml:space="preserve">Appendix A.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cantSplit/>
          <w:tblHeader/>
        </w:trPr>
        <w:tc>
          <w:tcPr>
            <w:tcW w:type="dxa" w:w="2120"/>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Term</w:t>
            </w:r>
          </w:p>
        </w:tc>
        <w:tc>
          <w:tcPr>
            <w:tcW w:type="dxa" w:w="7518"/>
            <w:tcBorders>
              <w:top w:val="single" w:color="C9CED8" w:sz="4"/>
              <w:left w:val="single" w:color="C9CED8" w:sz="4"/>
              <w:bottom w:val="single" w:color="C9CED8" w:sz="4"/>
              <w:right w:val="single" w:color="C9CED8" w:sz="4"/>
            </w:tcBorders>
            <w:shd w:fill="1F3864" w:color="auto" w:val="clear"/>
            <w:tcMar>
              <w:top w:type="dxa" w:w="60"/>
              <w:left w:type="dxa" w:w="90"/>
              <w:bottom w:type="dxa" w:w="60"/>
              <w:right w:type="dxa" w:w="90"/>
            </w:tcMar>
            <w:vAlign w:val="top"/>
          </w:tcPr>
          <w:p>
            <w:pPr>
              <w:spacing w:after="20" w:line="250"/>
            </w:pPr>
            <w:r>
              <w:rPr>
                <w:rFonts w:ascii="Arial" w:cs="Arial" w:eastAsia="Arial" w:hAnsi="Arial"/>
                <w:b/>
                <w:bCs/>
                <w:color w:val="FFFFFF"/>
                <w:sz w:val="18"/>
                <w:szCs w:val="18"/>
              </w:rPr>
              <w:t xml:space="preserve">Meaning</w:t>
            </w:r>
          </w:p>
        </w:tc>
      </w:tr>
      <w:tr>
        <w:trPr>
          <w:cantSplit/>
        </w:trPr>
        <w:tc>
          <w:tcPr>
            <w:tcW w:type="dxa" w:w="2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ADR</w:t>
            </w:r>
          </w:p>
        </w:tc>
        <w:tc>
          <w:tcPr>
            <w:tcW w:type="dxa" w:w="75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Architecture Decision Record: a short document recording a significant technical decision and its rationale</w:t>
            </w:r>
          </w:p>
        </w:tc>
      </w:tr>
      <w:tr>
        <w:trPr>
          <w:cantSplit/>
        </w:trPr>
        <w:tc>
          <w:tcPr>
            <w:tcW w:type="dxa" w:w="2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BFF</w:t>
            </w:r>
          </w:p>
        </w:tc>
        <w:tc>
          <w:tcPr>
            <w:tcW w:type="dxa" w:w="75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Backend-for-Frontend: a thin API layer shaped for a particular client (mobile, web)</w:t>
            </w:r>
          </w:p>
        </w:tc>
      </w:tr>
      <w:tr>
        <w:trPr>
          <w:cantSplit/>
        </w:trPr>
        <w:tc>
          <w:tcPr>
            <w:tcW w:type="dxa" w:w="2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BSP</w:t>
            </w:r>
          </w:p>
        </w:tc>
        <w:tc>
          <w:tcPr>
            <w:tcW w:type="dxa" w:w="75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Business Solution Provider for the WhatsApp Business Platform</w:t>
            </w:r>
          </w:p>
        </w:tc>
      </w:tr>
      <w:tr>
        <w:trPr>
          <w:cantSplit/>
        </w:trPr>
        <w:tc>
          <w:tcPr>
            <w:tcW w:type="dxa" w:w="2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DLT</w:t>
            </w:r>
          </w:p>
        </w:tc>
        <w:tc>
          <w:tcPr>
            <w:tcW w:type="dxa" w:w="75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Distributed Ledger Technology platform used in India to register SMS senders and templates</w:t>
            </w:r>
          </w:p>
        </w:tc>
      </w:tr>
      <w:tr>
        <w:trPr>
          <w:cantSplit/>
        </w:trPr>
        <w:tc>
          <w:tcPr>
            <w:tcW w:type="dxa" w:w="2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DPDP Act</w:t>
            </w:r>
          </w:p>
        </w:tc>
        <w:tc>
          <w:tcPr>
            <w:tcW w:type="dxa" w:w="75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India's Digital Personal Data Protection Act, 2023</w:t>
            </w:r>
          </w:p>
        </w:tc>
      </w:tr>
      <w:tr>
        <w:trPr>
          <w:cantSplit/>
        </w:trPr>
        <w:tc>
          <w:tcPr>
            <w:tcW w:type="dxa" w:w="2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HLD / LLD</w:t>
            </w:r>
          </w:p>
        </w:tc>
        <w:tc>
          <w:tcPr>
            <w:tcW w:type="dxa" w:w="75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High-Level Design / Low-Level Design</w:t>
            </w:r>
          </w:p>
        </w:tc>
      </w:tr>
      <w:tr>
        <w:trPr>
          <w:cantSplit/>
        </w:trPr>
        <w:tc>
          <w:tcPr>
            <w:tcW w:type="dxa" w:w="2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KT</w:t>
            </w:r>
          </w:p>
        </w:tc>
        <w:tc>
          <w:tcPr>
            <w:tcW w:type="dxa" w:w="75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Knowledge Transfer</w:t>
            </w:r>
          </w:p>
        </w:tc>
      </w:tr>
      <w:tr>
        <w:trPr>
          <w:cantSplit/>
        </w:trPr>
        <w:tc>
          <w:tcPr>
            <w:tcW w:type="dxa" w:w="2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OIDC / PKCE</w:t>
            </w:r>
          </w:p>
        </w:tc>
        <w:tc>
          <w:tcPr>
            <w:tcW w:type="dxa" w:w="75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OpenID Connect (identity layer on OAuth 2.0) / Proof Key for Code Exchange (secures public-client logins)</w:t>
            </w:r>
          </w:p>
        </w:tc>
      </w:tr>
      <w:tr>
        <w:trPr>
          <w:cantSplit/>
        </w:trPr>
        <w:tc>
          <w:tcPr>
            <w:tcW w:type="dxa" w:w="2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Outbox pattern</w:t>
            </w:r>
          </w:p>
        </w:tc>
        <w:tc>
          <w:tcPr>
            <w:tcW w:type="dxa" w:w="75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Writing events to a table in the same transaction as the business change, then relaying them to the broker, so events are never lost or sent for rolled-back work</w:t>
            </w:r>
          </w:p>
        </w:tc>
      </w:tr>
      <w:tr>
        <w:trPr>
          <w:cantSplit/>
        </w:trPr>
        <w:tc>
          <w:tcPr>
            <w:tcW w:type="dxa" w:w="2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Route</w:t>
            </w:r>
          </w:p>
        </w:tc>
        <w:tc>
          <w:tcPr>
            <w:tcW w:type="dxa" w:w="75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Razorpay's split-settlement product for routing funds to linked partner accounts</w:t>
            </w:r>
          </w:p>
        </w:tc>
      </w:tr>
      <w:tr>
        <w:trPr>
          <w:cantSplit/>
        </w:trPr>
        <w:tc>
          <w:tcPr>
            <w:tcW w:type="dxa" w:w="2120"/>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SIT / UAT</w:t>
            </w:r>
          </w:p>
        </w:tc>
        <w:tc>
          <w:tcPr>
            <w:tcW w:type="dxa" w:w="7518"/>
            <w:tcBorders>
              <w:top w:val="single" w:color="C9CED8" w:sz="4"/>
              <w:left w:val="single" w:color="C9CED8" w:sz="4"/>
              <w:bottom w:val="single" w:color="C9CED8" w:sz="4"/>
              <w:right w:val="single" w:color="C9CED8" w:sz="4"/>
            </w:tcBorders>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System Integration Testing / User Acceptance Testing</w:t>
            </w:r>
          </w:p>
        </w:tc>
      </w:tr>
      <w:tr>
        <w:trPr>
          <w:cantSplit/>
        </w:trPr>
        <w:tc>
          <w:tcPr>
            <w:tcW w:type="dxa" w:w="2120"/>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VAPT</w:t>
            </w:r>
          </w:p>
        </w:tc>
        <w:tc>
          <w:tcPr>
            <w:tcW w:type="dxa" w:w="7518"/>
            <w:tcBorders>
              <w:top w:val="single" w:color="C9CED8" w:sz="4"/>
              <w:left w:val="single" w:color="C9CED8" w:sz="4"/>
              <w:bottom w:val="single" w:color="C9CED8" w:sz="4"/>
              <w:right w:val="single" w:color="C9CED8" w:sz="4"/>
            </w:tcBorders>
            <w:shd w:fill="F3F5F9" w:color="auto" w:val="clear"/>
            <w:tcMar>
              <w:top w:type="dxa" w:w="60"/>
              <w:left w:type="dxa" w:w="90"/>
              <w:bottom w:type="dxa" w:w="60"/>
              <w:right w:type="dxa" w:w="90"/>
            </w:tcMar>
            <w:vAlign w:val="top"/>
          </w:tcPr>
          <w:p>
            <w:pPr>
              <w:spacing w:after="20" w:line="250"/>
            </w:pPr>
            <w:r>
              <w:rPr>
                <w:rFonts w:ascii="Arial" w:cs="Arial" w:eastAsia="Arial" w:hAnsi="Arial"/>
                <w:color w:val="1A1A1A"/>
                <w:sz w:val="18"/>
                <w:szCs w:val="18"/>
              </w:rPr>
              <w:t xml:space="preserve">Vulnerability Assessment and Penetration Testing</w:t>
            </w:r>
          </w:p>
        </w:tc>
      </w:tr>
    </w:tbl>
    <w:p>
      <w:pPr>
        <w:spacing w:after="140"/>
      </w:pPr>
    </w:p>
    <w:sectPr>
      <w:headerReference w:type="default" r:id="rId11"/>
      <w:headerReference w:type="first" r:id="rId12"/>
      <w:footerReference w:type="default" r:id="rId13"/>
      <w:footerReference w:type="first" r:id="rId14"/>
      <w:pgSz w:w="11906" w:h="16838" w:orient="portrait"/>
      <w:pgMar w:top="1134" w:right="1134" w:bottom="1134" w:left="1134" w:header="560" w:footer="56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Srivin Platforms  ·  Confidential  ·  Page </w:t>
    </w:r>
    <w:r>
      <w:rPr>
        <w:rFonts w:ascii="Arial" w:cs="Arial" w:eastAsia="Arial" w:hAnsi="Arial"/>
        <w:color w:val="5A5A5A"/>
        <w:sz w:val="16"/>
        <w:szCs w:val="16"/>
      </w:rPr>
      <w:fldChar w:fldCharType="begin"/>
      <w:instrText xml:space="preserve">PAGE</w:instrText>
      <w:fldChar w:fldCharType="separate"/>
      <w:fldChar w:fldCharType="end"/>
    </w:r>
    <w:r>
      <w:rPr>
        <w:rFonts w:ascii="Arial" w:cs="Arial" w:eastAsia="Arial" w:hAnsi="Arial"/>
        <w:color w:val="5A5A5A"/>
        <w:sz w:val="16"/>
        <w:szCs w:val="16"/>
      </w:rPr>
      <w:t xml:space="preserve"> of </w:t>
    </w:r>
    <w:r>
      <w:rPr>
        <w:rFonts w:ascii="Arial" w:cs="Arial" w:eastAsia="Arial" w:hAnsi="Arial"/>
        <w:color w:val="5A5A5A"/>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Technical Approach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jc w:val="right"/>
    </w:pPr>
    <w:r>
      <w:rPr>
        <w:rFonts w:ascii="Arial" w:cs="Arial" w:eastAsia="Arial" w:hAnsi="Arial"/>
        <w:color w:val="5A5A5A"/>
        <w:sz w:val="16"/>
        <w:szCs w:val="16"/>
      </w:rPr>
      <w:t xml:space="preserve">SportSeek Phase 2A  |  Technical Approach</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F6E7A"/>
      <w:sz w:val="25"/>
      <w:szCs w:val="25"/>
    </w:rPr>
  </w:style>
  <w:style w:type="paragraph" w:styleId="Heading3">
    <w:name w:val="Heading 3"/>
    <w:basedOn w:val="Normal"/>
    <w:next w:val="Normal"/>
    <w:qFormat/>
    <w:pPr>
      <w:spacing w:after="80" w:before="18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image" Target="media/369a25d818707d3e69ff2c587b69a56dc9938ee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SportSeek Phase 2A — Technical Approach</dc:title>
  <dc:creator>Srivin Platforms</dc:creator>
  <dc:description>Technical approach</dc:description>
  <cp:lastModifiedBy>Un-named</cp:lastModifiedBy>
  <cp:revision>1</cp:revision>
  <dcterms:created xsi:type="dcterms:W3CDTF">2026-09-27T01:47:02.449Z</dcterms:created>
  <dcterms:modified xsi:type="dcterms:W3CDTF">2026-09-27T01:47:02.449Z</dcterms:modified>
</cp:coreProperties>
</file>

<file path=docProps/custom.xml><?xml version="1.0" encoding="utf-8"?>
<Properties xmlns="http://schemas.openxmlformats.org/officeDocument/2006/custom-properties" xmlns:vt="http://schemas.openxmlformats.org/officeDocument/2006/docPropsVTypes"/>
</file>