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6E7A" w:sz="18" w:space="6"/>
        </w:pBdr>
        <w:spacing w:after="40"/>
      </w:pPr>
      <w:r>
        <w:rPr>
          <w:rFonts w:ascii="Arial" w:cs="Arial" w:eastAsia="Arial" w:hAnsi="Arial"/>
          <w:b/>
          <w:bCs/>
          <w:color w:val="1F3864"/>
          <w:spacing w:val="60"/>
          <w:sz w:val="30"/>
          <w:szCs w:val="30"/>
        </w:rPr>
        <w:t xml:space="preserve">SRIVIN PLATFORMS</w:t>
      </w:r>
    </w:p>
    <w:p>
      <w:pPr>
        <w:spacing w:after="1800"/>
      </w:pPr>
      <w:r>
        <w:rPr>
          <w:rFonts w:ascii="Arial" w:cs="Arial" w:eastAsia="Arial" w:hAnsi="Arial"/>
          <w:b w:val="false"/>
          <w:bCs w:val="false"/>
          <w:color w:val="5A5A5A"/>
          <w:sz w:val="18"/>
          <w:szCs w:val="18"/>
        </w:rPr>
        <w:t xml:space="preserve">Delivery partner to RacingAhead / SportSeek</w:t>
      </w:r>
    </w:p>
    <w:p>
      <w:pPr>
        <w:spacing w:after="120"/>
      </w:pPr>
      <w:r>
        <w:rPr>
          <w:rFonts w:ascii="Arial" w:cs="Arial" w:eastAsia="Arial" w:hAnsi="Arial"/>
          <w:b/>
          <w:bCs/>
          <w:color w:val="0F6E7A"/>
          <w:sz w:val="24"/>
          <w:szCs w:val="24"/>
        </w:rPr>
        <w:t xml:space="preserve">SportSeek — Unified Sports Ecosystem Platform</w:t>
      </w:r>
    </w:p>
    <w:p>
      <w:pPr>
        <w:spacing w:after="160"/>
      </w:pPr>
      <w:r>
        <w:rPr>
          <w:rFonts w:ascii="Arial" w:cs="Arial" w:eastAsia="Arial" w:hAnsi="Arial"/>
          <w:b/>
          <w:bCs/>
          <w:color w:val="1F3864"/>
          <w:sz w:val="52"/>
          <w:szCs w:val="52"/>
        </w:rPr>
        <w:t xml:space="preserve">Gap &amp; Decision Register</w:t>
      </w:r>
    </w:p>
    <w:p>
      <w:pPr>
        <w:spacing w:after="900"/>
      </w:pPr>
      <w:r>
        <w:rPr>
          <w:rFonts w:ascii="Arial" w:cs="Arial" w:eastAsia="Arial" w:hAnsi="Arial"/>
          <w:b w:val="false"/>
          <w:bCs w:val="false"/>
          <w:color w:val="1A1A1A"/>
          <w:sz w:val="26"/>
          <w:szCs w:val="26"/>
        </w:rPr>
        <w:t xml:space="preserve">SportSeek vision, SOW and Srivin architecture: conflicts, gaps, decisions required and industry best practices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Document control</w:t>
            </w:r>
          </w:p>
        </w:tc>
        <w:tc>
          <w:tcPr>
            <w:tcW w:type="dxa" w:w="67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Document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SRV-SPS-2A-GDR-004</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Programme</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SportSeek Phase 2 — Phase 2A (Harden &amp; Unify)</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Client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RacingAhead / SportSeek, Hyderabad</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Prepared by</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Srivin Platforms — Technical Programme Management Office</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Version / date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v1.0 — 15 October 2026</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Status</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Issued for SportSeek steering review</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Reference baseline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SOW v1.0; High Level Requirements; SportSeek vision boards (15 Oct 2026); Srivin pack v2.1</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Classification</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Confidential — RacingAhead / SportSeek and Srivin Platforms only</w:t>
            </w:r>
          </w:p>
        </w:tc>
      </w:tr>
    </w:tbl>
    <w:p>
      <w:pPr>
        <w:spacing w:after="140"/>
      </w:pPr>
    </w:p>
    <w:p>
      <w:pPr>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pPr>
    </w:p>
    <w:p>
      <w:pPr>
        <w:spacing w:after="200" w:before="0"/>
      </w:pPr>
      <w:r>
        <w:rPr>
          <w:rFonts w:ascii="Arial" w:cs="Arial" w:eastAsia="Arial" w:hAnsi="Arial"/>
          <w:b/>
          <w:bCs/>
          <w:color w:val="1F3864"/>
          <w:sz w:val="32"/>
          <w:szCs w:val="32"/>
        </w:rPr>
        <w:t xml:space="preserve">Contents</w:t>
      </w:r>
    </w:p>
    <w:p>
      <w:pPr>
        <w:pBdr>
          <w:bottom w:val="dotted" w:color="D5D8DE" w:sz="4" w:space="3"/>
        </w:pBdr>
        <w:spacing w:after="90"/>
      </w:pPr>
      <w:r>
        <w:rPr>
          <w:rFonts w:ascii="Arial" w:cs="Arial" w:eastAsia="Arial" w:hAnsi="Arial"/>
          <w:color w:val="1A1A1A"/>
          <w:sz w:val="21"/>
          <w:szCs w:val="21"/>
        </w:rPr>
        <w:t xml:space="preserve">1. Purpose, sources and method</w:t>
      </w:r>
    </w:p>
    <w:p>
      <w:pPr>
        <w:pBdr>
          <w:bottom w:val="dotted" w:color="D5D8DE" w:sz="4" w:space="3"/>
        </w:pBdr>
        <w:spacing w:after="90"/>
      </w:pPr>
      <w:r>
        <w:rPr>
          <w:rFonts w:ascii="Arial" w:cs="Arial" w:eastAsia="Arial" w:hAnsi="Arial"/>
          <w:color w:val="1A1A1A"/>
          <w:sz w:val="21"/>
          <w:szCs w:val="21"/>
        </w:rPr>
        <w:t xml:space="preserve">2. Executive summary</w:t>
      </w:r>
    </w:p>
    <w:p>
      <w:pPr>
        <w:pBdr>
          <w:bottom w:val="dotted" w:color="D5D8DE" w:sz="4" w:space="3"/>
        </w:pBdr>
        <w:spacing w:after="90"/>
      </w:pPr>
      <w:r>
        <w:rPr>
          <w:rFonts w:ascii="Arial" w:cs="Arial" w:eastAsia="Arial" w:hAnsi="Arial"/>
          <w:color w:val="1A1A1A"/>
          <w:sz w:val="21"/>
          <w:szCs w:val="21"/>
        </w:rPr>
        <w:t xml:space="preserve">3. How to read this register</w:t>
      </w:r>
    </w:p>
    <w:p>
      <w:pPr>
        <w:pBdr>
          <w:bottom w:val="dotted" w:color="D5D8DE" w:sz="4" w:space="3"/>
        </w:pBdr>
        <w:spacing w:after="90"/>
      </w:pPr>
      <w:r>
        <w:rPr>
          <w:rFonts w:ascii="Arial" w:cs="Arial" w:eastAsia="Arial" w:hAnsi="Arial"/>
          <w:color w:val="1A1A1A"/>
          <w:sz w:val="21"/>
          <w:szCs w:val="21"/>
        </w:rPr>
        <w:t xml:space="preserve">4. Conflict register: vision vs SOW</w:t>
      </w:r>
    </w:p>
    <w:p>
      <w:pPr>
        <w:pBdr>
          <w:bottom w:val="dotted" w:color="D5D8DE" w:sz="4" w:space="3"/>
        </w:pBdr>
        <w:spacing w:after="90"/>
      </w:pPr>
      <w:r>
        <w:rPr>
          <w:rFonts w:ascii="Arial" w:cs="Arial" w:eastAsia="Arial" w:hAnsi="Arial"/>
          <w:color w:val="1A1A1A"/>
          <w:sz w:val="21"/>
          <w:szCs w:val="21"/>
        </w:rPr>
        <w:t xml:space="preserve">5. Architecture gap register</w:t>
      </w:r>
    </w:p>
    <w:p>
      <w:pPr>
        <w:pBdr>
          <w:bottom w:val="dotted" w:color="D5D8DE" w:sz="4" w:space="3"/>
        </w:pBdr>
        <w:spacing w:after="90"/>
      </w:pPr>
      <w:r>
        <w:rPr>
          <w:rFonts w:ascii="Arial" w:cs="Arial" w:eastAsia="Arial" w:hAnsi="Arial"/>
          <w:color w:val="1A1A1A"/>
          <w:sz w:val="21"/>
          <w:szCs w:val="21"/>
        </w:rPr>
        <w:t xml:space="preserve">6. Decision register</w:t>
      </w:r>
    </w:p>
    <w:p>
      <w:pPr>
        <w:pBdr>
          <w:bottom w:val="dotted" w:color="D5D8DE" w:sz="4" w:space="3"/>
        </w:pBdr>
        <w:spacing w:after="90"/>
      </w:pPr>
      <w:r>
        <w:rPr>
          <w:rFonts w:ascii="Arial" w:cs="Arial" w:eastAsia="Arial" w:hAnsi="Arial"/>
          <w:color w:val="1A1A1A"/>
          <w:sz w:val="21"/>
          <w:szCs w:val="21"/>
        </w:rPr>
        <w:t xml:space="preserve">7. Vision-to-architecture traceability</w:t>
      </w:r>
    </w:p>
    <w:p>
      <w:pPr>
        <w:pBdr>
          <w:bottom w:val="dotted" w:color="D5D8DE" w:sz="4" w:space="3"/>
        </w:pBdr>
        <w:spacing w:after="90"/>
      </w:pPr>
      <w:r>
        <w:rPr>
          <w:rFonts w:ascii="Arial" w:cs="Arial" w:eastAsia="Arial" w:hAnsi="Arial"/>
          <w:color w:val="1A1A1A"/>
          <w:sz w:val="21"/>
          <w:szCs w:val="21"/>
        </w:rPr>
        <w:t xml:space="preserve">8. Launch-week actions (15–20 October 2026)</w:t>
      </w:r>
    </w:p>
    <w:p>
      <w:pPr>
        <w:pBdr>
          <w:bottom w:val="dotted" w:color="D5D8DE" w:sz="4" w:space="3"/>
        </w:pBdr>
        <w:spacing w:after="90"/>
      </w:pPr>
      <w:r>
        <w:rPr>
          <w:rFonts w:ascii="Arial" w:cs="Arial" w:eastAsia="Arial" w:hAnsi="Arial"/>
          <w:color w:val="1A1A1A"/>
          <w:sz w:val="21"/>
          <w:szCs w:val="21"/>
        </w:rPr>
        <w:t xml:space="preserve">9. Industry best practices and standards</w:t>
      </w:r>
    </w:p>
    <w:p>
      <w:pPr>
        <w:pBdr>
          <w:bottom w:val="dotted" w:color="D5D8DE" w:sz="4" w:space="3"/>
        </w:pBdr>
        <w:spacing w:after="90"/>
      </w:pPr>
      <w:r>
        <w:rPr>
          <w:rFonts w:ascii="Arial" w:cs="Arial" w:eastAsia="Arial" w:hAnsi="Arial"/>
          <w:color w:val="1A1A1A"/>
          <w:sz w:val="21"/>
          <w:szCs w:val="21"/>
        </w:rPr>
        <w:t xml:space="preserve">10. Register governance and next steps</w:t>
      </w:r>
    </w:p>
    <w:p>
      <w:pPr>
        <w:pStyle w:val="Heading1"/>
        <w:pageBreakBefore/>
      </w:pPr>
      <w:r>
        <w:t xml:space="preserve">1. Purpose, sources and method</w:t>
      </w:r>
    </w:p>
    <w:p>
      <w:pPr>
        <w:spacing w:after="120" w:line="276"/>
      </w:pPr>
      <w:r>
        <w:rPr>
          <w:rFonts w:ascii="Arial" w:cs="Arial" w:eastAsia="Arial" w:hAnsi="Arial"/>
          <w:color w:val="1A1A1A"/>
        </w:rPr>
        <w:t xml:space="preserve">This register records where SportSeek's product vision, the Phase 2 SOW and Srivin's Phase 2A architecture do not line up. It also records the decisions needed to close each gap and the industry practices the platform should follow. It is a working tool for the SportSeek steering committee: every item has an owner, a need-by date and a recommended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5205"/>
      </w:tblGrid>
      <w:tr>
        <w:trPr>
          <w:cantSplit/>
          <w:tblHeader/>
        </w:trPr>
        <w:tc>
          <w:tcPr>
            <w:tcW w:type="dxa" w:w="57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Ref.</w:t>
            </w:r>
          </w:p>
        </w:tc>
        <w:tc>
          <w:tcPr>
            <w:tcW w:type="dxa" w:w="385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Source</w:t>
            </w:r>
          </w:p>
        </w:tc>
        <w:tc>
          <w:tcPr>
            <w:tcW w:type="dxa" w:w="520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Version / scope</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S1</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Phase 2 Statement of Work</w:t>
            </w:r>
          </w:p>
        </w:tc>
        <w:tc>
          <w:tcPr>
            <w:tcW w:type="dxa" w:w="52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v1.0, 15 Jul 2026 (incl. Figure 1 architecture and §11 persona journeys)</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S2</w:t>
            </w:r>
          </w:p>
        </w:tc>
        <w:tc>
          <w:tcPr>
            <w:tcW w:type="dxa" w:w="38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SportsSeek App — High Level Requirements</w:t>
            </w:r>
          </w:p>
        </w:tc>
        <w:tc>
          <w:tcPr>
            <w:tcW w:type="dxa" w:w="52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4 pages, undated</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S3</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vision boards (DOC-20261015-WA0129)</w:t>
            </w:r>
          </w:p>
        </w:tc>
        <w:tc>
          <w:tcPr>
            <w:tcW w:type="dxa" w:w="52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10 boards received 15 Oct 2026: ecosystem, 5-platform architecture, unified platform vision, end-user, community member, facility, academy &amp; club, seller &amp; brand, coach &amp; expert, creator journeys</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S4</w:t>
            </w:r>
          </w:p>
        </w:tc>
        <w:tc>
          <w:tcPr>
            <w:tcW w:type="dxa" w:w="38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Srivin Phase 2A delivery pack</w:t>
            </w:r>
          </w:p>
        </w:tc>
        <w:tc>
          <w:tcPr>
            <w:tcW w:type="dxa" w:w="52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v2.1: WBS &amp; Integrated Project Plan, Delivery Model, Technical Approach</w:t>
            </w:r>
          </w:p>
        </w:tc>
      </w:tr>
    </w:tbl>
    <w:p>
      <w:pPr>
        <w:spacing w:after="140"/>
      </w:pPr>
    </w:p>
    <w:p>
      <w:pPr>
        <w:pStyle w:val="Heading2"/>
        <w:keepNext/>
      </w:pPr>
      <w:r>
        <w:t xml:space="preserve">Method</w:t>
      </w:r>
    </w:p>
    <w:p>
      <w:pPr>
        <w:pStyle w:val="ListParagraph"/>
        <w:numPr>
          <w:ilvl w:val="0"/>
          <w:numId w:val="2"/>
        </w:numPr>
        <w:spacing w:after="60" w:line="264"/>
      </w:pPr>
      <w:r>
        <w:rPr>
          <w:rFonts w:ascii="Arial" w:cs="Arial" w:eastAsia="Arial" w:hAnsi="Arial"/>
          <w:color w:val="1A1A1A"/>
        </w:rPr>
        <w:t xml:space="preserve">Read all four sources, including the SOW figures (Figure 1 architecture and §11 persona journeys) and all ten vision boards.</w:t>
      </w:r>
    </w:p>
    <w:p>
      <w:pPr>
        <w:pStyle w:val="ListParagraph"/>
        <w:numPr>
          <w:ilvl w:val="0"/>
          <w:numId w:val="2"/>
        </w:numPr>
        <w:spacing w:after="60" w:line="264"/>
      </w:pPr>
      <w:r>
        <w:rPr>
          <w:rFonts w:ascii="Arial" w:cs="Arial" w:eastAsia="Arial" w:hAnsi="Arial"/>
          <w:color w:val="1A1A1A"/>
        </w:rPr>
        <w:t xml:space="preserve">List every capability, principle and data element the vision shows, and map each to the SOW scope and to the Srivin architecture (Section 7).</w:t>
      </w:r>
    </w:p>
    <w:p>
      <w:pPr>
        <w:pStyle w:val="ListParagraph"/>
        <w:numPr>
          <w:ilvl w:val="0"/>
          <w:numId w:val="2"/>
        </w:numPr>
        <w:spacing w:after="60" w:line="264"/>
      </w:pPr>
      <w:r>
        <w:rPr>
          <w:rFonts w:ascii="Arial" w:cs="Arial" w:eastAsia="Arial" w:hAnsi="Arial"/>
          <w:color w:val="1A1A1A"/>
        </w:rPr>
        <w:t xml:space="preserve">Classify each mismatch: a </w:t>
      </w:r>
      <w:r>
        <w:rPr>
          <w:rFonts w:ascii="Arial" w:cs="Arial" w:eastAsia="Arial" w:hAnsi="Arial"/>
          <w:b/>
          <w:bCs/>
          <w:color w:val="1A1A1A"/>
        </w:rPr>
        <w:t xml:space="preserve">Conflict</w:t>
      </w:r>
      <w:r>
        <w:rPr>
          <w:rFonts w:ascii="Arial" w:cs="Arial" w:eastAsia="Arial" w:hAnsi="Arial"/>
          <w:color w:val="1A1A1A"/>
        </w:rPr>
        <w:t xml:space="preserve"> (two SportSeek documents disagree, so SportSeek must choose) or a </w:t>
      </w:r>
      <w:r>
        <w:rPr>
          <w:rFonts w:ascii="Arial" w:cs="Arial" w:eastAsia="Arial" w:hAnsi="Arial"/>
          <w:b/>
          <w:bCs/>
          <w:color w:val="1A1A1A"/>
        </w:rPr>
        <w:t xml:space="preserve">Gap</w:t>
      </w:r>
      <w:r>
        <w:rPr>
          <w:rFonts w:ascii="Arial" w:cs="Arial" w:eastAsia="Arial" w:hAnsi="Arial"/>
          <w:color w:val="1A1A1A"/>
        </w:rPr>
        <w:t xml:space="preserve"> (the Srivin architecture does not yet provide what the vision or SOW needs).</w:t>
      </w:r>
    </w:p>
    <w:p>
      <w:pPr>
        <w:pStyle w:val="ListParagraph"/>
        <w:numPr>
          <w:ilvl w:val="0"/>
          <w:numId w:val="2"/>
        </w:numPr>
        <w:spacing w:after="60" w:line="264"/>
      </w:pPr>
      <w:r>
        <w:rPr>
          <w:rFonts w:ascii="Arial" w:cs="Arial" w:eastAsia="Arial" w:hAnsi="Arial"/>
          <w:color w:val="1A1A1A"/>
        </w:rPr>
        <w:t xml:space="preserve">Assign severity, a recommended resolution, an owner and a need-by date tied to the release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6E7A" w:sz="24"/>
              <w:bottom w:val="none" w:color="FFFFFF" w:sz="0"/>
              <w:right w:val="none" w:color="FFFFFF" w:sz="0"/>
            </w:tcBorders>
            <w:shd w:fill="E8F1F2" w:color="auto" w:val="clear"/>
            <w:tcMar>
              <w:top w:type="dxa" w:w="110"/>
              <w:left w:type="dxa" w:w="180"/>
              <w:bottom w:type="dxa" w:w="110"/>
              <w:right w:type="dxa" w:w="160"/>
            </w:tcMar>
          </w:tcPr>
          <w:p>
            <w:pPr>
              <w:spacing w:after="60"/>
            </w:pPr>
            <w:r>
              <w:rPr>
                <w:rFonts w:ascii="Arial" w:cs="Arial" w:eastAsia="Arial" w:hAnsi="Arial"/>
                <w:b/>
                <w:bCs/>
                <w:color w:val="0F6E7A"/>
                <w:sz w:val="20"/>
                <w:szCs w:val="20"/>
              </w:rPr>
              <w:t xml:space="preserve">Scope note</w:t>
            </w:r>
          </w:p>
          <w:p>
            <w:pPr>
              <w:spacing w:after="50" w:line="260"/>
            </w:pPr>
            <w:r>
              <w:rPr>
                <w:rFonts w:ascii="Arial" w:cs="Arial" w:eastAsia="Arial" w:hAnsi="Arial"/>
                <w:color w:val="1A1A1A"/>
                <w:sz w:val="19"/>
                <w:szCs w:val="19"/>
              </w:rPr>
              <w:t xml:space="preserve">Regulatory points (RBI, DPDP, tax, consumer protection, intermediary rules) are flagged because they shape the architecture. They are not legal or tax advice, and each needs confirmation by SportSeek's advisers.</w:t>
            </w:r>
          </w:p>
        </w:tc>
      </w:tr>
    </w:tbl>
    <w:p>
      <w:pPr>
        <w:spacing w:after="160"/>
      </w:pPr>
    </w:p>
    <w:p>
      <w:pPr>
        <w:pStyle w:val="Heading1"/>
        <w:pageBreakBefore/>
      </w:pPr>
      <w:r>
        <w:t xml:space="preserve">2. Executive summary</w:t>
      </w:r>
    </w:p>
    <w:p>
      <w:pPr>
        <w:spacing w:after="120" w:line="276"/>
      </w:pPr>
      <w:r>
        <w:rPr>
          <w:rFonts w:ascii="Arial" w:cs="Arial" w:eastAsia="Arial" w:hAnsi="Arial"/>
          <w:color w:val="1A1A1A"/>
        </w:rPr>
        <w:t xml:space="preserve">The Srivin architecture is a sound foundation for the SportSeek vision. Its layers (experience → shared services → business domains → data) and its domain boundaries match the vision's own architecture board. The review found </w:t>
      </w:r>
      <w:r>
        <w:rPr>
          <w:rFonts w:ascii="Arial" w:cs="Arial" w:eastAsia="Arial" w:hAnsi="Arial"/>
          <w:b/>
          <w:bCs/>
          <w:color w:val="1A1A1A"/>
        </w:rPr>
        <w:t xml:space="preserve">4 conflicts</w:t>
      </w:r>
      <w:r>
        <w:rPr>
          <w:rFonts w:ascii="Arial" w:cs="Arial" w:eastAsia="Arial" w:hAnsi="Arial"/>
          <w:color w:val="1A1A1A"/>
        </w:rPr>
        <w:t xml:space="preserve"> between SportSeek's vision and the SOW, and </w:t>
      </w:r>
      <w:r>
        <w:rPr>
          <w:rFonts w:ascii="Arial" w:cs="Arial" w:eastAsia="Arial" w:hAnsi="Arial"/>
          <w:b/>
          <w:bCs/>
          <w:color w:val="1A1A1A"/>
        </w:rPr>
        <w:t xml:space="preserve">15 gaps</w:t>
      </w:r>
      <w:r>
        <w:rPr>
          <w:rFonts w:ascii="Arial" w:cs="Arial" w:eastAsia="Arial" w:hAnsi="Arial"/>
          <w:color w:val="1A1A1A"/>
        </w:rPr>
        <w:t xml:space="preserve"> in the Srivin architecture. </w:t>
      </w:r>
      <w:r>
        <w:rPr>
          <w:rFonts w:ascii="Arial" w:cs="Arial" w:eastAsia="Arial" w:hAnsi="Arial"/>
          <w:b/>
          <w:bCs/>
          <w:color w:val="1A1A1A"/>
        </w:rPr>
        <w:t xml:space="preserve">23 decisions</w:t>
      </w:r>
      <w:r>
        <w:rPr>
          <w:rFonts w:ascii="Arial" w:cs="Arial" w:eastAsia="Arial" w:hAnsi="Arial"/>
          <w:color w:val="1A1A1A"/>
        </w:rPr>
        <w:t xml:space="preserve"> are logged.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cantSplit/>
          <w:tblHeader/>
        </w:trPr>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Severity</w:t>
            </w:r>
          </w:p>
        </w:tc>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Conflicts + gaps</w:t>
            </w:r>
          </w:p>
        </w:tc>
        <w:tc>
          <w:tcPr>
            <w:tcW w:type="dxa" w:w="578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Meaning</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Critical</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w:t>
            </w:r>
          </w:p>
        </w:tc>
        <w:tc>
          <w:tcPr>
            <w:tcW w:type="dxa" w:w="578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Regulatory or launch risk; decide immediately</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High</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6</w:t>
            </w:r>
          </w:p>
        </w:tc>
        <w:tc>
          <w:tcPr>
            <w:tcW w:type="dxa" w:w="578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Costly rework if not decided before the next design milestone</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Medium</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8</w:t>
            </w:r>
          </w:p>
        </w:tc>
        <w:tc>
          <w:tcPr>
            <w:tcW w:type="dxa" w:w="578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Needs a decision before the phase that uses it</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Low</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3</w:t>
            </w:r>
          </w:p>
        </w:tc>
        <w:tc>
          <w:tcPr>
            <w:tcW w:type="dxa" w:w="578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Backlog or scope-tagging decision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412A" w:sz="24"/>
              <w:bottom w:val="none" w:color="FFFFFF" w:sz="0"/>
              <w:right w:val="none" w:color="FFFFFF" w:sz="0"/>
            </w:tcBorders>
            <w:shd w:fill="FBECE8" w:color="auto" w:val="clear"/>
            <w:tcMar>
              <w:top w:type="dxa" w:w="110"/>
              <w:left w:type="dxa" w:w="180"/>
              <w:bottom w:type="dxa" w:w="110"/>
              <w:right w:type="dxa" w:w="160"/>
            </w:tcMar>
          </w:tcPr>
          <w:p>
            <w:pPr>
              <w:spacing w:after="60"/>
            </w:pPr>
            <w:r>
              <w:rPr>
                <w:rFonts w:ascii="Arial" w:cs="Arial" w:eastAsia="Arial" w:hAnsi="Arial"/>
                <w:b/>
                <w:bCs/>
                <w:color w:val="B4412A"/>
                <w:sz w:val="20"/>
                <w:szCs w:val="20"/>
              </w:rPr>
              <w:t xml:space="preserve">Decisions needed in the next two weeks</w:t>
            </w:r>
          </w:p>
          <w:p>
            <w:pPr>
              <w:spacing w:after="50" w:line="260"/>
            </w:pPr>
            <w:r>
              <w:rPr>
                <w:rFonts w:ascii="Arial" w:cs="Arial" w:eastAsia="Arial" w:hAnsi="Arial"/>
                <w:b/>
                <w:bCs/>
                <w:color w:val="1A1A1A"/>
                <w:sz w:val="19"/>
                <w:szCs w:val="19"/>
              </w:rPr>
              <w:t xml:space="preserve">DEC-04 — Under-18 users at launch (17 Oct).</w:t>
            </w:r>
            <w:r>
              <w:rPr>
                <w:rFonts w:ascii="Arial" w:cs="Arial" w:eastAsia="Arial" w:hAnsi="Arial"/>
                <w:color w:val="1A1A1A"/>
                <w:sz w:val="19"/>
                <w:szCs w:val="19"/>
              </w:rPr>
              <w:t xml:space="preserve"> The vision shows athletes aged 14–17. Shared Identity goes live on 20 Oct. SportSeek needs a legal view on DPDP parental consent before launch, even if the answer is an interim age gate.</w:t>
            </w:r>
          </w:p>
          <w:p>
            <w:pPr>
              <w:spacing w:after="50" w:line="260"/>
            </w:pPr>
            <w:r>
              <w:rPr>
                <w:rFonts w:ascii="Arial" w:cs="Arial" w:eastAsia="Arial" w:hAnsi="Arial"/>
                <w:b/>
                <w:bCs/>
                <w:color w:val="1A1A1A"/>
                <w:sz w:val="19"/>
                <w:szCs w:val="19"/>
              </w:rPr>
              <w:t xml:space="preserve">DEC-05, DEC-11, DEC-14, DEC-17, DEC-18, DEC-21 — HLD principles (23 Oct):</w:t>
            </w:r>
            <w:r>
              <w:rPr>
                <w:rFonts w:ascii="Arial" w:cs="Arial" w:eastAsia="Arial" w:hAnsi="Arial"/>
                <w:color w:val="1A1A1A"/>
                <w:sz w:val="19"/>
                <w:szCs w:val="19"/>
              </w:rPr>
              <w:t xml:space="preserve"> organisation model, cache/storage/search, separate rewards ledger, event capture from R2, partner API, international-ready data.</w:t>
            </w:r>
          </w:p>
          <w:p>
            <w:pPr>
              <w:spacing w:after="50" w:line="260"/>
            </w:pPr>
            <w:r>
              <w:rPr>
                <w:rFonts w:ascii="Arial" w:cs="Arial" w:eastAsia="Arial" w:hAnsi="Arial"/>
                <w:b/>
                <w:bCs/>
                <w:color w:val="1A1A1A"/>
                <w:sz w:val="19"/>
                <w:szCs w:val="19"/>
              </w:rPr>
              <w:t xml:space="preserve">DEC-01 and DEC-03 — SSO/super-app and community timing (30 Oct):</w:t>
            </w:r>
            <w:r>
              <w:rPr>
                <w:rFonts w:ascii="Arial" w:cs="Arial" w:eastAsia="Arial" w:hAnsi="Arial"/>
                <w:color w:val="1A1A1A"/>
                <w:sz w:val="19"/>
                <w:szCs w:val="19"/>
              </w:rPr>
              <w:t xml:space="preserve"> the vision roadmap promises both; the SOW does not.</w:t>
            </w:r>
          </w:p>
          <w:p>
            <w:pPr>
              <w:spacing w:after="50" w:line="260"/>
            </w:pPr>
            <w:r>
              <w:rPr>
                <w:rFonts w:ascii="Arial" w:cs="Arial" w:eastAsia="Arial" w:hAnsi="Arial"/>
                <w:b/>
                <w:bCs/>
                <w:color w:val="1A1A1A"/>
                <w:sz w:val="19"/>
                <w:szCs w:val="19"/>
              </w:rPr>
              <w:t xml:space="preserve">DEC-02 — Wallet (13 Nov):</w:t>
            </w:r>
            <w:r>
              <w:rPr>
                <w:rFonts w:ascii="Arial" w:cs="Arial" w:eastAsia="Arial" w:hAnsi="Arial"/>
                <w:color w:val="1A1A1A"/>
                <w:sz w:val="19"/>
                <w:szCs w:val="19"/>
              </w:rPr>
              <w:t xml:space="preserve"> the vision shows a stored balance and partner "Withdraw"; the SOW forbids holding funds. This is a regulatory decision, and marketing should stop showing a wallet until it is made.</w:t>
            </w:r>
          </w:p>
          <w:p>
            <w:pPr>
              <w:spacing w:after="50" w:line="260"/>
            </w:pPr>
            <w:r>
              <w:rPr>
                <w:rFonts w:ascii="Arial" w:cs="Arial" w:eastAsia="Arial" w:hAnsi="Arial"/>
                <w:b/>
                <w:bCs/>
                <w:color w:val="1A1A1A"/>
                <w:sz w:val="19"/>
                <w:szCs w:val="19"/>
              </w:rPr>
              <w:t xml:space="preserve">DEC-12 — Order line items and fee engine (13 Nov):</w:t>
            </w:r>
            <w:r>
              <w:rPr>
                <w:rFonts w:ascii="Arial" w:cs="Arial" w:eastAsia="Arial" w:hAnsi="Arial"/>
                <w:color w:val="1A1A1A"/>
                <w:sz w:val="19"/>
                <w:szCs w:val="19"/>
              </w:rPr>
              <w:t xml:space="preserve"> needed before refunds (F5) are built.</w:t>
            </w:r>
          </w:p>
        </w:tc>
      </w:tr>
    </w:tbl>
    <w:p>
      <w:pPr>
        <w:spacing w:after="160"/>
      </w:pPr>
    </w:p>
    <w:p>
      <w:pPr>
        <w:pStyle w:val="Heading1"/>
        <w:pageBreakBefore/>
      </w:pPr>
      <w:r>
        <w:t xml:space="preserve">3. How to read this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Field</w:t>
            </w:r>
          </w:p>
        </w:tc>
        <w:tc>
          <w:tcPr>
            <w:tcW w:type="dxa" w:w="771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Meaning</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ID</w:t>
            </w:r>
          </w:p>
        </w:tc>
        <w:tc>
          <w:tcPr>
            <w:tcW w:type="dxa" w:w="77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C-n</w:t>
            </w:r>
            <w:r>
              <w:rPr>
                <w:rFonts w:ascii="Arial" w:cs="Arial" w:eastAsia="Arial" w:hAnsi="Arial"/>
                <w:color w:val="1A1A1A"/>
                <w:sz w:val="18"/>
                <w:szCs w:val="18"/>
              </w:rPr>
              <w:t xml:space="preserve"> conflict between SportSeek documents; </w:t>
            </w:r>
            <w:r>
              <w:rPr>
                <w:rFonts w:ascii="Arial" w:cs="Arial" w:eastAsia="Arial" w:hAnsi="Arial"/>
                <w:b/>
                <w:bCs/>
                <w:color w:val="1A1A1A"/>
                <w:sz w:val="18"/>
                <w:szCs w:val="18"/>
              </w:rPr>
              <w:t xml:space="preserve">G-n</w:t>
            </w:r>
            <w:r>
              <w:rPr>
                <w:rFonts w:ascii="Arial" w:cs="Arial" w:eastAsia="Arial" w:hAnsi="Arial"/>
                <w:color w:val="1A1A1A"/>
                <w:sz w:val="18"/>
                <w:szCs w:val="18"/>
              </w:rPr>
              <w:t xml:space="preserve"> gap in Srivin architecture; </w:t>
            </w:r>
            <w:r>
              <w:rPr>
                <w:rFonts w:ascii="Arial" w:cs="Arial" w:eastAsia="Arial" w:hAnsi="Arial"/>
                <w:b/>
                <w:bCs/>
                <w:color w:val="1A1A1A"/>
                <w:sz w:val="18"/>
                <w:szCs w:val="18"/>
              </w:rPr>
              <w:t xml:space="preserve">DEC-n</w:t>
            </w:r>
            <w:r>
              <w:rPr>
                <w:rFonts w:ascii="Arial" w:cs="Arial" w:eastAsia="Arial" w:hAnsi="Arial"/>
                <w:color w:val="1A1A1A"/>
                <w:sz w:val="18"/>
                <w:szCs w:val="18"/>
              </w:rPr>
              <w:t xml:space="preserve"> decision. Every C and G links to one DEC.</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Severity</w:t>
            </w:r>
          </w:p>
        </w:tc>
        <w:tc>
          <w:tcPr>
            <w:tcW w:type="dxa" w:w="77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Critical, High, Medium or Low (Section 2).</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Need-by</w:t>
            </w:r>
          </w:p>
        </w:tc>
        <w:tc>
          <w:tcPr>
            <w:tcW w:type="dxa" w:w="77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Latest date the decision can be taken without moving a release or forcing rework. Derived from the WBS &amp; Integrated Project Plan v2.1.</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Owner</w:t>
            </w:r>
          </w:p>
        </w:tc>
        <w:tc>
          <w:tcPr>
            <w:tcW w:type="dxa" w:w="77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The person or function who decides. Srivin recommends; SportSeek decides unless the item is a Srivin design choice.</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Status</w:t>
            </w:r>
          </w:p>
        </w:tc>
        <w:tc>
          <w:tcPr>
            <w:tcW w:type="dxa" w:w="77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Open</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Decided</w:t>
            </w:r>
            <w:r>
              <w:rPr>
                <w:rFonts w:ascii="Arial" w:cs="Arial" w:eastAsia="Arial" w:hAnsi="Arial"/>
                <w:color w:val="1A1A1A"/>
                <w:sz w:val="18"/>
                <w:szCs w:val="18"/>
              </w:rPr>
              <w:t xml:space="preserve"> (with date and outcome) → </w:t>
            </w:r>
            <w:r>
              <w:rPr>
                <w:rFonts w:ascii="Arial" w:cs="Arial" w:eastAsia="Arial" w:hAnsi="Arial"/>
                <w:b/>
                <w:bCs/>
                <w:color w:val="1A1A1A"/>
                <w:sz w:val="18"/>
                <w:szCs w:val="18"/>
              </w:rPr>
              <w:t xml:space="preserve">Closed</w:t>
            </w:r>
            <w:r>
              <w:rPr>
                <w:rFonts w:ascii="Arial" w:cs="Arial" w:eastAsia="Arial" w:hAnsi="Arial"/>
                <w:color w:val="1A1A1A"/>
                <w:sz w:val="18"/>
                <w:szCs w:val="18"/>
              </w:rPr>
              <w:t xml:space="preserve"> (reflected in design and plan). </w:t>
            </w:r>
            <w:r>
              <w:rPr>
                <w:rFonts w:ascii="Arial" w:cs="Arial" w:eastAsia="Arial" w:hAnsi="Arial"/>
                <w:b/>
                <w:bCs/>
                <w:color w:val="1A1A1A"/>
                <w:sz w:val="18"/>
                <w:szCs w:val="18"/>
              </w:rPr>
              <w:t xml:space="preserve">Tracked</w:t>
            </w:r>
            <w:r>
              <w:rPr>
                <w:rFonts w:ascii="Arial" w:cs="Arial" w:eastAsia="Arial" w:hAnsi="Arial"/>
                <w:color w:val="1A1A1A"/>
                <w:sz w:val="18"/>
                <w:szCs w:val="18"/>
              </w:rPr>
              <w:t xml:space="preserve"> means already in the WBS dependency register.</w:t>
            </w:r>
          </w:p>
        </w:tc>
      </w:tr>
    </w:tbl>
    <w:p>
      <w:pPr>
        <w:spacing w:after="140"/>
      </w:pPr>
    </w:p>
    <w:p>
      <w:pPr>
        <w:pStyle w:val="Heading1"/>
        <w:pageBreakBefore/>
      </w:pPr>
      <w:r>
        <w:t xml:space="preserve">4. Conflict register: vision vs SOW</w:t>
      </w:r>
    </w:p>
    <w:p>
      <w:pPr>
        <w:spacing w:after="120" w:line="276"/>
      </w:pPr>
      <w:r>
        <w:rPr>
          <w:rFonts w:ascii="Arial" w:cs="Arial" w:eastAsia="Arial" w:hAnsi="Arial"/>
          <w:color w:val="1A1A1A"/>
        </w:rPr>
        <w:t xml:space="preserve">Each conflict is a place where two SportSeek documents disagree. Srivin cannot resolve these alone; each needs a SportSeek decision.</w:t>
      </w:r>
    </w:p>
    <w:p>
      <w:pPr>
        <w:pStyle w:val="Heading2"/>
        <w:keepNext/>
      </w:pPr>
      <w:r>
        <w:t xml:space="preserve">C1 — Single sign-on and in-app role switching  [High]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Aspect</w:t>
            </w:r>
          </w:p>
        </w:tc>
        <w:tc>
          <w:tcPr>
            <w:tcW w:type="dxa" w:w="790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Detail</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Vision says</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"One Login (SSO)" across all apps; a single "Super App" with a "Switch Role" screen (Player, Coach, Tournament Organiser, Venue Partner) (S3 boards 2–3)</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SOW says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SSO out of scope (§4). Two apps with separate logins; a person switches context by logging into the other app (§7). Figure 1: "two apps, one shared identity (no SSO)".</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Impact</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Determines app structure (one super-app vs User App + Partner App) and identity session design. Shared Identity (F3) goes live on 20 Oct on the SOW model.</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Options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A) Keep SOW model for Phase 2 (no SSO, two apps). B) Add SSO across apps later (identity is OIDC-based, so this is mainly session configuration). C) Move to one super-app with in-app role switching (app restructure; change request).</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Srivin recommendation</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A for Phase 2, with B kept open: F3 already uses one OIDC identity service, so SSO can be enabled later without rework. Treat C as a Stage-2 product decision with its own change request.</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Decision</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DEC-01</w:t>
            </w:r>
          </w:p>
        </w:tc>
      </w:tr>
    </w:tbl>
    <w:p>
      <w:pPr>
        <w:spacing w:after="140"/>
      </w:pPr>
    </w:p>
    <w:p>
      <w:pPr>
        <w:pStyle w:val="Heading2"/>
        <w:keepNext/>
      </w:pPr>
      <w:r>
        <w:t xml:space="preserve">C2 — Wallet with stored balance and partner "Withdraw"  [Critical]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Aspect</w:t>
            </w:r>
          </w:p>
        </w:tc>
        <w:tc>
          <w:tcPr>
            <w:tcW w:type="dxa" w:w="790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Detail</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Vision says</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"One Wallet … All transactions. One Balance" with a user balance (₹5,250); coaches and sellers see "Available Balance" with a "Withdraw" button (S3 boards 3, 8, 9)</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SOW says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No stored-value wallet, credits or float (§4). Transaction Ledger is read-only; funds route directly to partners via Razorpay Route so SportSeek never holds funds (§8.3).</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Impact</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Regulatory, not only functional: a balance usable to pay third-party partners is likely to fall under RBI prepaid payment instrument (PPI) rules; holding partner earnings for on-demand withdrawal risks the Payment Aggregator licensing the SOW is designed to avoid.</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Options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A) Keep SOW model: Ledger view + Route settlements; show partners "earnings &amp; settlement status", not a withdrawable balance. B) Wallet/balance through a licensed PPI issuer or bank partner (separate programme). C) Closed-loop reward points only (not money; see DEC-14).</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Srivin recommendation</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A for Phase 2. Align vision artwork and marketing copy now. Any wallet (B) only after SportSeek legal/regulatory sign-off, as a separate change request.</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Decision</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DEC-02</w:t>
            </w:r>
          </w:p>
        </w:tc>
      </w:tr>
    </w:tbl>
    <w:p>
      <w:pPr>
        <w:spacing w:after="140"/>
      </w:pPr>
    </w:p>
    <w:p>
      <w:pPr>
        <w:pStyle w:val="Heading2"/>
        <w:keepNext/>
      </w:pPr>
      <w:r>
        <w:t xml:space="preserve">C3 — Timing of Community and Analytics  [High]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Aspect</w:t>
            </w:r>
          </w:p>
        </w:tc>
        <w:tc>
          <w:tcPr>
            <w:tcW w:type="dxa" w:w="790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Detail</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Vision says</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Phase 2 (0–6 months): Unified Identity &amp; SSO, One Wallet, Role Management, Unified Notifications, Enhanced Partner App, Core Analytics, Community Module (S3 board 3)</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SOW says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Community and basic Analytics are Phase 2B, after the 2A "harden &amp; unify" scope (§3.2, §12.1 M7–M8)</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Impact</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Expectation gap: Srivin plan completes 2A on 23 Mar 2027 with no community or analytics features. Stakeholders reading the vision roadmap may expect them by then.</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Options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A) Keep SOW sequence; start 2B (Community + Expert Booking + basic analytics) on the same monthly train from Apr 2027. B) Pull a thin community slice (groups + feed + reviews) into 2A by swapping with a later 2A feature. C) Run a second pod in parallel from Jan 2027 (cost).</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Srivin recommendation</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A, plus start event capture for analytics from R2 (G9) so dashboards are fast to deliver in 2B. Confirm the published roadmap with SportSeek stakeholders.</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Decision</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DEC-03</w:t>
            </w:r>
          </w:p>
        </w:tc>
      </w:tr>
    </w:tbl>
    <w:p>
      <w:pPr>
        <w:spacing w:after="140"/>
      </w:pPr>
    </w:p>
    <w:p>
      <w:pPr>
        <w:pStyle w:val="Heading2"/>
        <w:keepNext/>
      </w:pPr>
      <w:r>
        <w:t xml:space="preserve">C4 — Marketplace model (resolves SOW open item)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Aspect</w:t>
            </w:r>
          </w:p>
        </w:tc>
        <w:tc>
          <w:tcPr>
            <w:tcW w:type="dxa" w:w="790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Detail</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Vision says</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Third-party sellers and brands: onboarding, catalogue, orders, shipping, returns, payouts, promotions (S3 board 8)</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SOW says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Open item ⚑: "Is RA only showing data of the users or is it building a marketplace?" Build vs headless-commerce decision pending (§3.3)</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Impact</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The vision confirms a multi-seller marketplace. This brings e-commerce obligations (seller disclosures, returns, grievance handling) and marketplace tax treatment into scope for 2C.</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Options</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A) Custom build on the SportSeek platform. B) Headless commerce platform integrated via APIs. C) Partner marketplace integration.</w:t>
            </w:r>
          </w:p>
        </w:tc>
      </w:tr>
      <w:tr>
        <w:trPr>
          <w:cantSplit/>
        </w:trPr>
        <w:tc>
          <w:tcPr>
            <w:tcW w:type="dxa" w:w="17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Srivin recommendation</w:t>
            </w:r>
          </w:p>
        </w:tc>
        <w:tc>
          <w:tcPr>
            <w:tcW w:type="dxa" w:w="79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Decide before 2C planning; Srivin to provide a build-vs-buy assessment in Q1 2027. No 2A impact.</w:t>
            </w:r>
          </w:p>
        </w:tc>
      </w:tr>
      <w:tr>
        <w:trPr>
          <w:cantSplit/>
        </w:trPr>
        <w:tc>
          <w:tcPr>
            <w:tcW w:type="dxa" w:w="17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7"/>
                <w:szCs w:val="17"/>
              </w:rPr>
              <w:t xml:space="preserve">Decision</w:t>
            </w:r>
          </w:p>
        </w:tc>
        <w:tc>
          <w:tcPr>
            <w:tcW w:type="dxa" w:w="79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7"/>
                <w:szCs w:val="17"/>
              </w:rPr>
              <w:t xml:space="preserve">DEC-09</w:t>
            </w:r>
          </w:p>
        </w:tc>
      </w:tr>
    </w:tbl>
    <w:p>
      <w:pPr>
        <w:spacing w:after="140"/>
      </w:pPr>
    </w:p>
    <w:p>
      <w:pPr>
        <w:sectPr>
          <w:headerReference w:type="default" r:id="rId11"/>
          <w:headerReference w:type="first" r:id="rId12"/>
          <w:footerReference w:type="default" r:id="rId13"/>
          <w:footerReference w:type="first" r:id="rId14"/>
          <w:pgSz w:w="11906" w:h="16838" w:orient="portrait"/>
          <w:pgMar w:top="1134" w:right="1134" w:bottom="1134" w:left="1134" w:header="560" w:footer="560" w:gutter="0"/>
          <w:pgNumType/>
          <w:titlePg w:val="false"/>
          <w:docGrid w:linePitch="360"/>
        </w:sectPr>
      </w:pPr>
    </w:p>
    <w:p>
      <w:pPr>
        <w:pStyle w:val="Heading1"/>
      </w:pPr>
      <w:r>
        <w:t xml:space="preserve">5. Architecture gap register</w:t>
      </w:r>
    </w:p>
    <w:p>
      <w:pPr>
        <w:spacing w:after="120" w:line="276"/>
      </w:pPr>
      <w:r>
        <w:rPr>
          <w:rFonts w:ascii="Arial" w:cs="Arial" w:eastAsia="Arial" w:hAnsi="Arial"/>
          <w:color w:val="1A1A1A"/>
        </w:rPr>
        <w:t xml:space="preserve">Gaps in the Srivin Phase 2A architecture (Technical Approach v2.1) against the vision and the SOW, sorted by severity.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9"/>
        <w:gridCol w:w="1935"/>
        <w:gridCol w:w="713"/>
        <w:gridCol w:w="2649"/>
        <w:gridCol w:w="2445"/>
        <w:gridCol w:w="3056"/>
        <w:gridCol w:w="1426"/>
        <w:gridCol w:w="1120"/>
        <w:gridCol w:w="717"/>
      </w:tblGrid>
      <w:tr>
        <w:trPr>
          <w:cantSplit/>
          <w:tblHeader/>
        </w:trPr>
        <w:tc>
          <w:tcPr>
            <w:tcW w:type="dxa" w:w="50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ID</w:t>
            </w:r>
          </w:p>
        </w:tc>
        <w:tc>
          <w:tcPr>
            <w:tcW w:type="dxa" w:w="193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Gap</w:t>
            </w:r>
          </w:p>
        </w:tc>
        <w:tc>
          <w:tcPr>
            <w:tcW w:type="dxa" w:w="71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Sev.</w:t>
            </w:r>
          </w:p>
        </w:tc>
        <w:tc>
          <w:tcPr>
            <w:tcW w:type="dxa" w:w="264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Evidence (source)</w:t>
            </w:r>
          </w:p>
        </w:tc>
        <w:tc>
          <w:tcPr>
            <w:tcW w:type="dxa" w:w="244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Impact</w:t>
            </w:r>
          </w:p>
        </w:tc>
        <w:tc>
          <w:tcPr>
            <w:tcW w:type="dxa" w:w="305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Recommended resolution</w:t>
            </w:r>
          </w:p>
        </w:tc>
        <w:tc>
          <w:tcPr>
            <w:tcW w:type="dxa" w:w="142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When</w:t>
            </w:r>
          </w:p>
        </w:tc>
        <w:tc>
          <w:tcPr>
            <w:tcW w:type="dxa" w:w="112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Owner</w:t>
            </w:r>
          </w:p>
        </w:tc>
        <w:tc>
          <w:tcPr>
            <w:tcW w:type="dxa" w:w="71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DEC</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G3</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Minors, guardians and children's data not modelled</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Critical</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U14/U15 athletes aged 14–17 (S3 boards 7, 9), school sports, academy "parent access" (S1 §11.5), with performance tracking, AI recommendations and ads in the vision</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Under the DPDP Act, 2023, processing a child's (under-18) personal data needs verifiable parental consent, and tracking, behavioural monitoring and targeted advertising directed at children are restricted. Identity goes live 20 Oct.</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Legal view before launch on whether under-18s may register on 20 Oct (interim age gate if needed). Then: date of birth / age capture, guardian linkage and consent records, exclusion of minors from targeted ads and profiling, guardian-managed accounts for academies.</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Decision: 17 Oct (pre-launch). Build: R2.</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Legal / PO</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DEC-04</w:t>
            </w:r>
          </w:p>
        </w:tc>
      </w:tr>
      <w:tr>
        <w:trPr>
          <w:cantSplit/>
        </w:trPr>
        <w:tc>
          <w:tcPr>
            <w:tcW w:type="dxa" w:w="5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w:t>
            </w:r>
          </w:p>
        </w:tc>
        <w:tc>
          <w:tcPr>
            <w:tcW w:type="dxa" w:w="1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Cache, object/media storage and search index missing from Srivin architecture</w:t>
            </w:r>
          </w:p>
        </w:tc>
        <w:tc>
          <w:tcPr>
            <w:tcW w:type="dxa" w:w="7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High</w:t>
            </w:r>
          </w:p>
        </w:tc>
        <w:tc>
          <w:tcPr>
            <w:tcW w:type="dxa" w:w="26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SOW Figure 1 shows Redis cache, object storage (media, docs) and a search index (future); vision shows "Content Storage", "Cache Layer", "Global Search" (S1, S3 board 2). Srivin TAD diagram shows only PostgreSQL and the analytics stream.</w:t>
            </w:r>
          </w:p>
        </w:tc>
        <w:tc>
          <w:tcPr>
            <w:tcW w:type="dxa" w:w="2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Images, documents and KYC files have no designed home; global search across people, venues and events has no path; performance headroom for search and availability is reduced.</w:t>
            </w:r>
          </w:p>
        </w:tc>
        <w:tc>
          <w:tcPr>
            <w:tcW w:type="dxa" w:w="30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Add Redis (cache, rate limits, OTP throttling), object storage + CDN (images, documents; signed URLs; restricted bucket for KYC), and a search ADR: PostgreSQL full-text/geo now, a dedicated search engine when global search ships.</w:t>
            </w:r>
          </w:p>
        </w:tc>
        <w:tc>
          <w:tcPr>
            <w:tcW w:type="dxa" w:w="14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Design: HLD (23 Oct). Build: R2–R3.</w:t>
            </w:r>
          </w:p>
        </w:tc>
        <w:tc>
          <w:tcPr>
            <w:tcW w:type="dxa" w:w="1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7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DEC-11</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G2</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No Organisation (business account) model in identity</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High</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Academies/clubs with coaches, staff and members; facilities with "staff &amp; access management" and multiple venues; brands with teams (S3 boards 6–8)</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F3 models roles per person only. Without an Organisation entity, staff logins, multi-venue businesses and academy ERP (2C) force identity rework.</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Add Organisation, Membership and organisation-scoped roles (owner, manager, staff, coach) as an additive extension of the F3 identity schema. Partner services belong to an Organisation, not only a person.</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Design: HLD (23 Oct). Build: R2 (additive; no change to R1).</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 / SportSeek PO</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DEC-05</w:t>
            </w:r>
          </w:p>
        </w:tc>
      </w:tr>
      <w:tr>
        <w:trPr>
          <w:cantSplit/>
        </w:trPr>
        <w:tc>
          <w:tcPr>
            <w:tcW w:type="dxa" w:w="5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G4</w:t>
            </w:r>
          </w:p>
        </w:tc>
        <w:tc>
          <w:tcPr>
            <w:tcW w:type="dxa" w:w="1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No pricing, fee and commission engine</w:t>
            </w:r>
          </w:p>
        </w:tc>
        <w:tc>
          <w:tcPr>
            <w:tcW w:type="dxa" w:w="7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High</w:t>
            </w:r>
          </w:p>
        </w:tc>
        <w:tc>
          <w:tcPr>
            <w:tcW w:type="dxa" w:w="26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Commission bands (bookings 5–20%, marketplace 10–30%), per-session expert commission, coupons, packages, "boost visibility" (S3 board 2, 6, 8)</w:t>
            </w:r>
          </w:p>
        </w:tc>
        <w:tc>
          <w:tcPr>
            <w:tcW w:type="dxa" w:w="2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Route split settlement, GST on SportSeek fees and the Ledger all need correct line items. Without an order/line-item model, F5 refunds, F9 Ledger and F11 payouts will compute amounts inconsistently.</w:t>
            </w:r>
          </w:p>
        </w:tc>
        <w:tc>
          <w:tcPr>
            <w:tcW w:type="dxa" w:w="30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Introduce an order model with line items (price, discount, platform fee, taxes, partner share) and configurable fee rules per partner type/category; this drives Route splits, refunds and invoicing.</w:t>
            </w:r>
          </w:p>
        </w:tc>
        <w:tc>
          <w:tcPr>
            <w:tcW w:type="dxa" w:w="14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Design: by 13 Nov (before F5 build). Build: R3–R6.</w:t>
            </w:r>
          </w:p>
        </w:tc>
        <w:tc>
          <w:tcPr>
            <w:tcW w:type="dxa" w:w="1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 / SportSeek Finance</w:t>
            </w:r>
          </w:p>
        </w:tc>
        <w:tc>
          <w:tcPr>
            <w:tcW w:type="dxa" w:w="7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DEC-12</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G9</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Data for analytics and AI not captured until 2B</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High</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Vision: Data Lake, Event Stream, Real-time Analytics, AI recommendations at 6–12 months (S3 board 2–3); SOW: AI needs 6–12 months of production data first (§3.3)</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If capture starts in 2B, the data needed for AI will not exist when 2C starts.</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From R2, stream domain events (with a documented, versioned event taxonomy and consent flags) to low-cost raw storage; build dashboards in 2B on top.</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Design: HLD (23 Oct). Build: R2.</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 / SportSeek PO</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DEC-17</w:t>
            </w:r>
          </w:p>
        </w:tc>
      </w:tr>
      <w:tr>
        <w:trPr>
          <w:cantSplit/>
        </w:trPr>
        <w:tc>
          <w:tcPr>
            <w:tcW w:type="dxa" w:w="5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G5</w:t>
            </w:r>
          </w:p>
        </w:tc>
        <w:tc>
          <w:tcPr>
            <w:tcW w:type="dxa" w:w="1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No recurring payments / subscriptions</w:t>
            </w:r>
          </w:p>
        </w:tc>
        <w:tc>
          <w:tcPr>
            <w:tcW w:type="dxa" w:w="7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Medium</w:t>
            </w:r>
          </w:p>
        </w:tc>
        <w:tc>
          <w:tcPr>
            <w:tcW w:type="dxa" w:w="26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"Go Premium", monthly coaching programmes, facility memberships, seller plans, fan subscriptions (S3 boards 4, 6, 9, 10)</w:t>
            </w:r>
          </w:p>
        </w:tc>
        <w:tc>
          <w:tcPr>
            <w:tcW w:type="dxa" w:w="2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Subscription revenue streams have no payment path; retrofitting mandates and renewals into the payments area later is costly.</w:t>
            </w:r>
          </w:p>
        </w:tc>
        <w:tc>
          <w:tcPr>
            <w:tcW w:type="dxa" w:w="30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Reserve a Subscriptions capability in the payments area (gateway subscriptions / UPI AutoPay / e-mandate), with ledger events for renewals and failures.</w:t>
            </w:r>
          </w:p>
        </w:tc>
        <w:tc>
          <w:tcPr>
            <w:tcW w:type="dxa" w:w="14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Design: 2B planning. Build: 2B/2C.</w:t>
            </w:r>
          </w:p>
        </w:tc>
        <w:tc>
          <w:tcPr>
            <w:tcW w:type="dxa" w:w="1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7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DEC-13</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G6</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Rewards and points need their own ledger</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Medium</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Points, XP, levels, badges, "Redeem points" for turf discounts and merchandise (S3 boards 5, 10)</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Mixing points with the Transaction Ledger blurs financial reporting and the no-stored-value position (C2).</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Separate double-entry Rewards ledger with expiry and redemption rules; redemptions appear in orders as discount line items (G4). Not money and not withdrawable.</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Principle in HLD (23 Oct). Build: 2C.</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DEC-14</w:t>
            </w:r>
          </w:p>
        </w:tc>
      </w:tr>
      <w:tr>
        <w:trPr>
          <w:cantSplit/>
        </w:trPr>
        <w:tc>
          <w:tcPr>
            <w:tcW w:type="dxa" w:w="5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G7</w:t>
            </w:r>
          </w:p>
        </w:tc>
        <w:tc>
          <w:tcPr>
            <w:tcW w:type="dxa" w:w="1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No real-time channel</w:t>
            </w:r>
          </w:p>
        </w:tc>
        <w:tc>
          <w:tcPr>
            <w:tcW w:type="dxa" w:w="7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Medium</w:t>
            </w:r>
          </w:p>
        </w:tc>
        <w:tc>
          <w:tcPr>
            <w:tcW w:type="dxa" w:w="26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Live scores and match updates (S2 "real-time match engine"; S3), chat and messaging, live comments</w:t>
            </w:r>
          </w:p>
        </w:tc>
        <w:tc>
          <w:tcPr>
            <w:tcW w:type="dxa" w:w="2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Polling does not scale for live tournaments or chat; adding real-time later touches mobile, web and back end.</w:t>
            </w:r>
          </w:p>
        </w:tc>
        <w:tc>
          <w:tcPr>
            <w:tcW w:type="dxa" w:w="30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ADR for a real-time layer (SignalR within the .NET estate, or a managed real-time service), with fan-out sized for tournament peaks.</w:t>
            </w:r>
          </w:p>
        </w:tc>
        <w:tc>
          <w:tcPr>
            <w:tcW w:type="dxa" w:w="14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ADR: by 26 Feb 2027. Build: 2B.</w:t>
            </w:r>
          </w:p>
        </w:tc>
        <w:tc>
          <w:tcPr>
            <w:tcW w:type="dxa" w:w="1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7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DEC-15</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G10</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No public / partner API and integration strategy</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Medium</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 API Layer: connects partners, devices &amp; third parties"; IoT-ready facility management; wearables (S3 board 4; S2 add-ons)</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Integrations get built ad hoc through internal APIs, which become hard to change.</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Separate partner API surface at the gateway: OAuth client credentials, API keys per partner, rate limits, versioning, outbound webhooks with signing.</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Principle in HLD (23 Oct). Build: when first external integration is prioritised.</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DEC-18</w:t>
            </w:r>
          </w:p>
        </w:tc>
      </w:tr>
      <w:tr>
        <w:trPr>
          <w:cantSplit/>
        </w:trPr>
        <w:tc>
          <w:tcPr>
            <w:tcW w:type="dxa" w:w="5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G11</w:t>
            </w:r>
          </w:p>
        </w:tc>
        <w:tc>
          <w:tcPr>
            <w:tcW w:type="dxa" w:w="1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Partner-facing dashboards need multi-tenant analytics</w:t>
            </w:r>
          </w:p>
        </w:tc>
        <w:tc>
          <w:tcPr>
            <w:tcW w:type="dxa" w:w="7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Medium</w:t>
            </w:r>
          </w:p>
        </w:tc>
        <w:tc>
          <w:tcPr>
            <w:tcW w:type="dxa" w:w="26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Facility, coach, academy and seller dashboards with revenue, utilisation, demographics, forecasts, downloadable reports (S3 boards 6–9)</w:t>
            </w:r>
          </w:p>
        </w:tc>
        <w:tc>
          <w:tcPr>
            <w:tcW w:type="dxa" w:w="2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"Buy a BI tool" (SOW §6.1) covers internal reporting; dashboards inside partner apps need per-partner row-level security and embedding.</w:t>
            </w:r>
          </w:p>
        </w:tc>
        <w:tc>
          <w:tcPr>
            <w:tcW w:type="dxa" w:w="30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Choose an analytics tool that supports secure embedding and row-level security, or build partner dashboards from pre-aggregated tables.</w:t>
            </w:r>
          </w:p>
        </w:tc>
        <w:tc>
          <w:tcPr>
            <w:tcW w:type="dxa" w:w="14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Decision: 2B planning (26 Feb 2027).</w:t>
            </w:r>
          </w:p>
        </w:tc>
        <w:tc>
          <w:tcPr>
            <w:tcW w:type="dxa" w:w="1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 / Srivin Architect</w:t>
            </w:r>
          </w:p>
        </w:tc>
        <w:tc>
          <w:tcPr>
            <w:tcW w:type="dxa" w:w="7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DEC-19</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G12</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No trust &amp; safety or dispute capability</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Medium</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Verified profiles, content moderation, report &amp; block, code of conduct, dispute resolution (S3 boards 5, 8)</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User-generated content and marketplace disputes carry legal duties (grievance handling under the IT Intermediary Rules and Consumer Protection (E-Commerce) Rules).</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Moderation and disputes area: report queue, automated + human moderation, appeal flow, grievance officer workflow, audit trail.</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Before Community (2B) and Marketplace (2C).</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Legal / PO</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DEC-20</w:t>
            </w:r>
          </w:p>
        </w:tc>
      </w:tr>
      <w:tr>
        <w:trPr>
          <w:cantSplit/>
        </w:trPr>
        <w:tc>
          <w:tcPr>
            <w:tcW w:type="dxa" w:w="5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G13</w:t>
            </w:r>
          </w:p>
        </w:tc>
        <w:tc>
          <w:tcPr>
            <w:tcW w:type="dxa" w:w="1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International readiness basics</w:t>
            </w:r>
          </w:p>
        </w:tc>
        <w:tc>
          <w:tcPr>
            <w:tcW w:type="dxa" w:w="7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Medium</w:t>
            </w:r>
          </w:p>
        </w:tc>
        <w:tc>
          <w:tcPr>
            <w:tcW w:type="dxa" w:w="26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Phase 4: international payments, global tournaments, new sports (S3 board 3)</w:t>
            </w:r>
          </w:p>
        </w:tc>
        <w:tc>
          <w:tcPr>
            <w:tcW w:type="dxa" w:w="2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International support is out of SOW scope (§4), but money without currency codes and local timestamps are very costly to retrofit.</w:t>
            </w:r>
          </w:p>
        </w:tc>
        <w:tc>
          <w:tcPr>
            <w:tcW w:type="dxa" w:w="30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Store ISO 4217 currency with every amount, timestamps in UTC with venue time zone, translatable strings, locale-aware formatting. No multi-currency features in Phase 2.</w:t>
            </w:r>
          </w:p>
        </w:tc>
        <w:tc>
          <w:tcPr>
            <w:tcW w:type="dxa" w:w="14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Principle in HLD (23 Oct); applied from R2.</w:t>
            </w:r>
          </w:p>
        </w:tc>
        <w:tc>
          <w:tcPr>
            <w:tcW w:type="dxa" w:w="1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7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DEC-21</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G8</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No in-app notification inbox</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Low</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Vision Notification Engine lists "In-App" alongside Email, SMS, Push (S3 board 2)</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Users cannot review past alerts; push-only delivery is lossy.</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Add a notification centre (stored notifications, read/unread, deep links) to F4.</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R2 (F4 scope).</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DEC-16</w:t>
            </w:r>
          </w:p>
        </w:tc>
      </w:tr>
      <w:tr>
        <w:trPr>
          <w:cantSplit/>
        </w:trPr>
        <w:tc>
          <w:tcPr>
            <w:tcW w:type="dxa" w:w="5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G14</w:t>
            </w:r>
          </w:p>
        </w:tc>
        <w:tc>
          <w:tcPr>
            <w:tcW w:type="dxa" w:w="1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Media and streaming platform</w:t>
            </w:r>
          </w:p>
        </w:tc>
        <w:tc>
          <w:tcPr>
            <w:tcW w:type="dxa" w:w="7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Low</w:t>
            </w:r>
          </w:p>
        </w:tc>
        <w:tc>
          <w:tcPr>
            <w:tcW w:type="dxa" w:w="26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Live streaming, highlights, reels, creator content, copyright protection, ads (S3 boards 1, 10)</w:t>
            </w:r>
          </w:p>
        </w:tc>
        <w:tc>
          <w:tcPr>
            <w:tcW w:type="dxa" w:w="2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Out of SOW scope (§4) but central to the vision's 5th platform.</w:t>
            </w:r>
          </w:p>
        </w:tc>
        <w:tc>
          <w:tcPr>
            <w:tcW w:type="dxa" w:w="30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Reserve a Media area boundary; use a managed video service (upload, transcode, CDN, DRM) when scoped. Images and short media use G1 storage meanwhile.</w:t>
            </w:r>
          </w:p>
        </w:tc>
        <w:tc>
          <w:tcPr>
            <w:tcW w:type="dxa" w:w="14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Scope decision: Phase 3 planning.</w:t>
            </w:r>
          </w:p>
        </w:tc>
        <w:tc>
          <w:tcPr>
            <w:tcW w:type="dxa" w:w="1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w:t>
            </w:r>
          </w:p>
        </w:tc>
        <w:tc>
          <w:tcPr>
            <w:tcW w:type="dxa" w:w="7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DEC-22</w:t>
            </w:r>
          </w:p>
        </w:tc>
      </w:tr>
      <w:tr>
        <w:trPr>
          <w:cantSplit/>
        </w:trPr>
        <w:tc>
          <w:tcPr>
            <w:tcW w:type="dxa" w:w="5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G15</w:t>
            </w:r>
          </w:p>
        </w:tc>
        <w:tc>
          <w:tcPr>
            <w:tcW w:type="dxa" w:w="1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Smaller vision items not in any plan</w:t>
            </w:r>
          </w:p>
        </w:tc>
        <w:tc>
          <w:tcPr>
            <w:tcW w:type="dxa" w:w="7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Low</w:t>
            </w:r>
          </w:p>
        </w:tc>
        <w:tc>
          <w:tcPr>
            <w:tcW w:type="dxa" w:w="26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Calendar sync (S2, S3 board 6), video sessions with experts (S2, S3 board 9), shipping &amp; returns (S2, S3 board 8), referral and affiliate tracking (S3 boards 6, 10), guest browsing (S3 board 4)</w:t>
            </w:r>
          </w:p>
        </w:tc>
        <w:tc>
          <w:tcPr>
            <w:tcW w:type="dxa" w:w="2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Each is small, but together they shape stakeholder expectations.</w:t>
            </w:r>
          </w:p>
        </w:tc>
        <w:tc>
          <w:tcPr>
            <w:tcW w:type="dxa" w:w="30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Log as backlog epics with phase tags; guest browsing and calendar export can ride an early 2B train.</w:t>
            </w:r>
          </w:p>
        </w:tc>
        <w:tc>
          <w:tcPr>
            <w:tcW w:type="dxa" w:w="14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2B scoping.</w:t>
            </w:r>
          </w:p>
        </w:tc>
        <w:tc>
          <w:tcPr>
            <w:tcW w:type="dxa" w:w="1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w:t>
            </w:r>
          </w:p>
        </w:tc>
        <w:tc>
          <w:tcPr>
            <w:tcW w:type="dxa" w:w="7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DEC-23</w:t>
            </w:r>
          </w:p>
        </w:tc>
      </w:tr>
    </w:tbl>
    <w:p>
      <w:pPr>
        <w:spacing w:after="140"/>
      </w:pPr>
    </w:p>
    <w:p>
      <w:pPr>
        <w:pStyle w:val="Heading1"/>
        <w:pageBreakBefore/>
      </w:pPr>
      <w:r>
        <w:t xml:space="preserve">6. Decision register</w:t>
      </w:r>
    </w:p>
    <w:p>
      <w:pPr>
        <w:spacing w:after="120" w:line="276"/>
      </w:pPr>
      <w:r>
        <w:rPr>
          <w:rFonts w:ascii="Arial" w:cs="Arial" w:eastAsia="Arial" w:hAnsi="Arial"/>
          <w:color w:val="1A1A1A"/>
        </w:rPr>
        <w:t xml:space="preserve">All decisions, sorted by need-by date. Status as at 15 October 2026.</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89"/>
        <w:gridCol w:w="2891"/>
        <w:gridCol w:w="4003"/>
        <w:gridCol w:w="1779"/>
        <w:gridCol w:w="1223"/>
        <w:gridCol w:w="2669"/>
        <w:gridCol w:w="1116"/>
      </w:tblGrid>
      <w:tr>
        <w:trPr>
          <w:cantSplit/>
          <w:tblHeader/>
        </w:trPr>
        <w:tc>
          <w:tcPr>
            <w:tcW w:type="dxa" w:w="88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ID</w:t>
            </w:r>
          </w:p>
        </w:tc>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Decision required</w:t>
            </w:r>
          </w:p>
        </w:tc>
        <w:tc>
          <w:tcPr>
            <w:tcW w:type="dxa" w:w="400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Srivin recommendation</w:t>
            </w:r>
          </w:p>
        </w:tc>
        <w:tc>
          <w:tcPr>
            <w:tcW w:type="dxa" w:w="177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Owner</w:t>
            </w:r>
          </w:p>
        </w:tc>
        <w:tc>
          <w:tcPr>
            <w:tcW w:type="dxa" w:w="122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Need-by</w:t>
            </w:r>
          </w:p>
        </w:tc>
        <w:tc>
          <w:tcPr>
            <w:tcW w:type="dxa" w:w="266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If late</w:t>
            </w:r>
          </w:p>
        </w:tc>
        <w:tc>
          <w:tcPr>
            <w:tcW w:type="dxa" w:w="111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Status</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DEC-04</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Under-18 users at launch and children's data (G3)</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Legal view now; interim age gate if needed; guardian consent model in R2</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Legal / PO</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17 Oct 2026</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Launch with unmanaged children's-data risk</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 — urgent</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DEC-05</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Organisation model in identity (G2)</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Approve Organisation / Membership / org roles as additive R2 extension</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 (approve); Srivin Architect</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23 Oct 2026</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Staff and multi-venue partners unsupported; rework later</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DEC-07</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Cloud provider (vision states "AWS / GCP")</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Confirm the current Phase 1 cloud as the target; no migration in Phase 2</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Tech</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23 Oct 2026</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IaC and managed-service choices on hold</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DEC-11</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Cache, storage and search (G1)</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Redis + object storage/CDN now; PostgreSQL search now, search engine later</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 (ADR); SportSeek Tech approve</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23 Oct 2026</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Media and search built ad hoc</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DEC-14</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Rewards as a separate points ledger (G6)</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Approve principle: points are not money, separate ledger</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 / Finance</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23 Oct 2026</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Risk of points mixing with financial ledger</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DEC-17</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Event capture for analytics from R2 (G9)</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Approve raw event capture from R2 with consent flags</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23 Oct 2026</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No data for AI when 2C starts</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DEC-18</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Partner / public API principles (G10)</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Separate partner API surface; principles in HLD</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23 Oct 2026</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 hoc integrations</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DEC-21</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International-ready data conventions (G13)</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Currency codes, UTC + venue time zone, translatable strings</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23 Oct 2026</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Costly retrofit</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DEC-01</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SSO and in-app role switching (C1)</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Keep two apps with separate logins in Phase 2; SSO-ready identity; super-app as a Stage-2 change request</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 / PO</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30 Oct 2026</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R2 app design proceeds on two-app model by default</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DEC-03</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Community and Analytics timing (C3)</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Keep SOW sequence; 2B starts Apr 2027 on the same train; event capture from R2</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30 Oct 2026</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Stakeholder expectation risk persists</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DEC-06</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Scale targets for NFRs (existing D20)</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Provide 12- and 24-month targets: users, partners, peak concurrency, bookings/day, p95 latency, uptime</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30 Oct 2026</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Capacity design rests on assumptions</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DEC-16</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In-app notification inbox in F4 (G8)</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Add to R2 scope</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30 Oct 2026</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Ships without inbox; added later</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DEC-02</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Wallet / stored balance / partner withdraw (C2)</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No stored balance in Phase 2; partners see earnings and settlement status; any wallet only after legal sign-off via a licensed issuer</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 / Legal</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13 Nov 2026</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F9/F11 designed on SOW model; marketing may keep promising a wallet</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DEC-12</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Order line items and fee engine (G4)</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 order/line-item model and fee rules before F5</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Finance / PO</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13 Nov 2026</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Refund, ledger and payout amounts inconsistent</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DEC-08</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Marketplace tax treatment (TDS s.194-O, GST TCS s.52)</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Tax adviser opinion on SportSeek as an e-commerce operator for services and goods</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Finance</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08 Jan 2027</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Ledger and payout calculations may be wrong at F9/F11</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DEC-13</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Subscriptions capability (G5)</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Reserve in payments area; build in 2B/2C</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26 Feb 2027</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Subscription revenue delayed</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DEC-15</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Real-time technology (G7)</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ADR: SignalR or managed real-time service</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Architect</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26 Feb 2027</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2B live scores/chat delayed</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DEC-19</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Embedded partner analytics approach (G11)</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Tool with embedding + row-level security, or pre-aggregated tables</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26 Feb 2027</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Partner dashboards rebuilt later</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DEC-20</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Trust &amp; safety and grievance model (G12)</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Moderation/disputes area and grievance officer workflow before 2B</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Legal</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26 Feb 2027</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Community cannot launch compliantly</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DEC-23</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Backlog placement of smaller items (G15)</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Tag into 2B/2C backlog</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PO</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26 Feb 2027</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Expectation drift</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DEC-09</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Marketplace build vs headless commerce (C4)</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Srivin build-vs-buy assessment in Q1 2027</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31 Mar 2027</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Delays 2C marketplace start</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DEC-22</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Media / streaming scope (G14)</w:t>
            </w:r>
          </w:p>
        </w:tc>
        <w:tc>
          <w:tcPr>
            <w:tcW w:type="dxa" w:w="40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Phase 3 scoping; managed video service</w:t>
            </w:r>
          </w:p>
        </w:tc>
        <w:tc>
          <w:tcPr>
            <w:tcW w:type="dxa" w:w="177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 Sponsor</w:t>
            </w:r>
          </w:p>
        </w:tc>
        <w:tc>
          <w:tcPr>
            <w:tcW w:type="dxa" w:w="12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31 Mar 2027</w:t>
            </w:r>
          </w:p>
        </w:tc>
        <w:tc>
          <w:tcPr>
            <w:tcW w:type="dxa" w:w="26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Vision platform 5 unplanned</w:t>
            </w:r>
          </w:p>
        </w:tc>
        <w:tc>
          <w:tcPr>
            <w:tcW w:type="dxa" w:w="11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w:t>
            </w:r>
          </w:p>
        </w:tc>
      </w:tr>
      <w:tr>
        <w:trPr>
          <w:cantSplit/>
        </w:trPr>
        <w:tc>
          <w:tcPr>
            <w:tcW w:type="dxa" w:w="88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DEC-10</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Pending SOW items already in plan (D10, D11, D15, D16)</w:t>
            </w:r>
          </w:p>
        </w:tc>
        <w:tc>
          <w:tcPr>
            <w:tcW w:type="dxa" w:w="40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Route enablement, refund policy, ledger visibility, warranty SLAs — tracked in WBS §10.3</w:t>
            </w:r>
          </w:p>
        </w:tc>
        <w:tc>
          <w:tcPr>
            <w:tcW w:type="dxa" w:w="177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SportSeek</w:t>
            </w:r>
          </w:p>
        </w:tc>
        <w:tc>
          <w:tcPr>
            <w:tcW w:type="dxa" w:w="12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per WBS</w:t>
            </w:r>
          </w:p>
        </w:tc>
        <w:tc>
          <w:tcPr>
            <w:tcW w:type="dxa" w:w="26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Per WBS dependency register</w:t>
            </w:r>
          </w:p>
        </w:tc>
        <w:tc>
          <w:tcPr>
            <w:tcW w:type="dxa" w:w="11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Tracked</w:t>
            </w:r>
          </w:p>
        </w:tc>
      </w:tr>
    </w:tbl>
    <w:p>
      <w:pPr>
        <w:spacing w:after="140"/>
      </w:pPr>
    </w:p>
    <w:p>
      <w:pPr>
        <w:pStyle w:val="Heading1"/>
        <w:pageBreakBefore/>
      </w:pPr>
      <w:r>
        <w:t xml:space="preserve">7. Vision-to-architecture traceability</w:t>
      </w:r>
    </w:p>
    <w:p>
      <w:pPr>
        <w:spacing w:after="120" w:line="276"/>
      </w:pPr>
      <w:r>
        <w:rPr>
          <w:rFonts w:ascii="Arial" w:cs="Arial" w:eastAsia="Arial" w:hAnsi="Arial"/>
          <w:color w:val="1A1A1A"/>
        </w:rPr>
        <w:t xml:space="preserve">Every capability shown on the vision boards, mapped to the Srivin architecture and SOW phase. </w:t>
      </w:r>
      <w:r>
        <w:rPr>
          <w:rFonts w:ascii="Arial" w:cs="Arial" w:eastAsia="Arial" w:hAnsi="Arial"/>
          <w:b/>
          <w:bCs/>
          <w:color w:val="1A1A1A"/>
        </w:rPr>
        <w:t xml:space="preserve">Covered</w:t>
      </w:r>
      <w:r>
        <w:rPr>
          <w:rFonts w:ascii="Arial" w:cs="Arial" w:eastAsia="Arial" w:hAnsi="Arial"/>
          <w:color w:val="1A1A1A"/>
        </w:rPr>
        <w:t xml:space="preserve"> = in the plan; </w:t>
      </w:r>
      <w:r>
        <w:rPr>
          <w:rFonts w:ascii="Arial" w:cs="Arial" w:eastAsia="Arial" w:hAnsi="Arial"/>
          <w:b/>
          <w:bCs/>
          <w:color w:val="1A1A1A"/>
        </w:rPr>
        <w:t xml:space="preserve">Partial</w:t>
      </w:r>
      <w:r>
        <w:rPr>
          <w:rFonts w:ascii="Arial" w:cs="Arial" w:eastAsia="Arial" w:hAnsi="Arial"/>
          <w:color w:val="1A1A1A"/>
        </w:rPr>
        <w:t xml:space="preserve"> = in the plan with a gap; </w:t>
      </w:r>
      <w:r>
        <w:rPr>
          <w:rFonts w:ascii="Arial" w:cs="Arial" w:eastAsia="Arial" w:hAnsi="Arial"/>
          <w:b/>
          <w:bCs/>
          <w:color w:val="1A1A1A"/>
        </w:rPr>
        <w:t xml:space="preserve">Planned</w:t>
      </w:r>
      <w:r>
        <w:rPr>
          <w:rFonts w:ascii="Arial" w:cs="Arial" w:eastAsia="Arial" w:hAnsi="Arial"/>
          <w:color w:val="1A1A1A"/>
        </w:rPr>
        <w:t xml:space="preserve"> = later SOW phase; </w:t>
      </w:r>
      <w:r>
        <w:rPr>
          <w:rFonts w:ascii="Arial" w:cs="Arial" w:eastAsia="Arial" w:hAnsi="Arial"/>
          <w:b/>
          <w:bCs/>
          <w:color w:val="1A1A1A"/>
        </w:rPr>
        <w:t xml:space="preserve">Gap / Conflict / Out of scope</w:t>
      </w:r>
      <w:r>
        <w:rPr>
          <w:rFonts w:ascii="Arial" w:cs="Arial" w:eastAsia="Arial" w:hAnsi="Arial"/>
          <w:color w:val="1A1A1A"/>
        </w:rPr>
        <w:t xml:space="preserve"> = see the linked register item.</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43"/>
        <w:gridCol w:w="4981"/>
        <w:gridCol w:w="4483"/>
        <w:gridCol w:w="1618"/>
        <w:gridCol w:w="1745"/>
      </w:tblGrid>
      <w:tr>
        <w:trPr>
          <w:cantSplit/>
          <w:tblHeader/>
        </w:trPr>
        <w:tc>
          <w:tcPr>
            <w:tcW w:type="dxa" w:w="174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Vision area</w:t>
            </w:r>
          </w:p>
        </w:tc>
        <w:tc>
          <w:tcPr>
            <w:tcW w:type="dxa" w:w="498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Capability (vision boards)</w:t>
            </w:r>
          </w:p>
        </w:tc>
        <w:tc>
          <w:tcPr>
            <w:tcW w:type="dxa" w:w="448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Architecture component / phase</w:t>
            </w:r>
          </w:p>
        </w:tc>
        <w:tc>
          <w:tcPr>
            <w:tcW w:type="dxa" w:w="161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Status</w:t>
            </w:r>
          </w:p>
        </w:tc>
        <w:tc>
          <w:tcPr>
            <w:tcW w:type="dxa" w:w="174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Register items</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Unified identity: single login, profile, roles &amp; permissions</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Identity domain — F3 (R1); org model G2</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Partial</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C1, G2, G3</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Payments &amp; wallet: subscriptions, payouts &amp; settlements</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Transaction Ledger F9, Route payouts F11</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Partial</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C2, G4, G5</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Community graph: connections, followers, groups</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Community domain (2B)</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Planned 2B</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C3</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Notification engine: in-app, email, SMS, push</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Notification domain — F1, F2, F4, F12</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Partial</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G8</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Analytics &amp; data layer; event stream; data lake</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Outbox → broker; analytics 2B</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Partial</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G9, G11</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Search &amp; discovery: global search, smart filters</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Venue search (Phase 1); search ADR</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Gap</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G1</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 &amp; personalisation</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2C+ per SOW</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Planned 2C</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G9</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Security &amp; privacy</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Security &amp; DPDP controls (TAD §7)</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Partial</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G3</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Foundation</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Open API layer for partners and devices</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Gap</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G10</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Shared data</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User DB, Transaction DB</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PostgreSQL, schema per domain</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Covered</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Shared data</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Cache layer; content storage</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Not in Srivin diagram (in SOW Figure 1)</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Gap</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G1</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Commerce</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Facility &amp; slot booking, cancellations, waitlist</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1 + F5, F8</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Covered</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Commerce</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Marketplace (gear, nutrition)</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2C</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Planned 2C</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C4</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Commerce</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Subscriptions, packages, offers &amp; discounts</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Gap</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G4, G5</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Community</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Feed, groups, messaging, profiles, polls</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2B</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Planned 2B</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C3, G7, G12</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Intelligence</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Analytics, rankings, performance tracking, AI insights</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2B/2C</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Planned 2B/2C</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G9, G11</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Infrastructure</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League &amp; tournament management, scheduling, scoring</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1 + hardening</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Covered</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Infrastructure</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Coach &amp; staff management; facility staff &amp; access</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F7 partner model + G2</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Partial</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G2</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Infrastructure</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Academies &amp; schools ERP, attendance, fees</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2C</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Planned 2C</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G2, G3, G5</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Media</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Live streaming, highlights, creator content, ads</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Out of SOW scope (§4)</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Out of scope</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G14</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Experience</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Super App with role switching</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User App + Partner App (SOW)</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Conflict</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C1</w:t>
            </w:r>
          </w:p>
        </w:tc>
      </w:tr>
      <w:tr>
        <w:trPr>
          <w:cantSplit/>
        </w:trPr>
        <w:tc>
          <w:tcPr>
            <w:tcW w:type="dxa" w:w="174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Experience</w:t>
            </w:r>
          </w:p>
        </w:tc>
        <w:tc>
          <w:tcPr>
            <w:tcW w:type="dxa" w:w="4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Partner App, Admin Portal, Web platform</w:t>
            </w:r>
          </w:p>
        </w:tc>
        <w:tc>
          <w:tcPr>
            <w:tcW w:type="dxa" w:w="44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Phase 1 apps; Web F6, F10</w:t>
            </w:r>
          </w:p>
        </w:tc>
        <w:tc>
          <w:tcPr>
            <w:tcW w:type="dxa" w:w="16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Covered</w:t>
            </w:r>
          </w:p>
        </w:tc>
        <w:tc>
          <w:tcPr>
            <w:tcW w:type="dxa" w:w="17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174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Experience</w:t>
            </w:r>
          </w:p>
        </w:tc>
        <w:tc>
          <w:tcPr>
            <w:tcW w:type="dxa" w:w="4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Stage 2–3 dedicated apps</w:t>
            </w:r>
          </w:p>
        </w:tc>
        <w:tc>
          <w:tcPr>
            <w:tcW w:type="dxa" w:w="44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BFF per client; shared design system</w:t>
            </w:r>
          </w:p>
        </w:tc>
        <w:tc>
          <w:tcPr>
            <w:tcW w:type="dxa" w:w="16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Covered (design)</w:t>
            </w:r>
          </w:p>
        </w:tc>
        <w:tc>
          <w:tcPr>
            <w:tcW w:type="dxa" w:w="17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bl>
    <w:p>
      <w:pPr>
        <w:spacing w:after="140"/>
      </w:pPr>
    </w:p>
    <w:p>
      <w:pPr>
        <w:sectPr>
          <w:headerReference w:type="default" r:id="rId15"/>
          <w:headerReference w:type="first" r:id="rId16"/>
          <w:footerReference w:type="default" r:id="rId17"/>
          <w:footerReference w:type="first" r:id="rId18"/>
          <w:pgSz w:w="16838" w:h="11906" w:orient="landscape"/>
          <w:pgMar w:top="1134" w:right="1134" w:bottom="1134" w:left="1134" w:header="560" w:footer="560" w:gutter="0"/>
          <w:pgNumType/>
          <w:titlePg w:val="false"/>
          <w:docGrid w:linePitch="360"/>
        </w:sectPr>
      </w:pPr>
    </w:p>
    <w:p>
      <w:pPr>
        <w:pStyle w:val="Heading1"/>
      </w:pPr>
      <w:r>
        <w:t xml:space="preserve">8. Launch-week actions (15–20 October 2026)</w:t>
      </w:r>
    </w:p>
    <w:p>
      <w:pPr>
        <w:spacing w:after="120" w:line="276"/>
      </w:pPr>
      <w:r>
        <w:rPr>
          <w:rFonts w:ascii="Arial" w:cs="Arial" w:eastAsia="Arial" w:hAnsi="Arial"/>
          <w:color w:val="1A1A1A"/>
        </w:rPr>
        <w:t xml:space="preserve">Release R1 code froze on 14 October and goes live on 20 October with Shared Identity (F3). None of the actions below changes the frozen build. They protect the launch and keep R2 design options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9"/>
        <w:gridCol w:w="1927"/>
        <w:gridCol w:w="1156"/>
        <w:gridCol w:w="1255"/>
      </w:tblGrid>
      <w:tr>
        <w:trPr>
          <w:cantSplit/>
          <w:tblHeader/>
        </w:trPr>
        <w:tc>
          <w:tcPr>
            <w:tcW w:type="dxa" w:w="48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t>
            </w:r>
          </w:p>
        </w:tc>
        <w:tc>
          <w:tcPr>
            <w:tcW w:type="dxa" w:w="481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Action</w:t>
            </w:r>
          </w:p>
        </w:tc>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Owner</w:t>
            </w:r>
          </w:p>
        </w:tc>
        <w:tc>
          <w:tcPr>
            <w:tcW w:type="dxa" w:w="115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By</w:t>
            </w:r>
          </w:p>
        </w:tc>
        <w:tc>
          <w:tcPr>
            <w:tcW w:type="dxa" w:w="125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Links</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Legal view on whether under-18s may register at launch; if not cleared, apply an interim age gate in registration copy and terms</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Legal / PO</w:t>
            </w:r>
          </w:p>
        </w:tc>
        <w:tc>
          <w:tcPr>
            <w:tcW w:type="dxa" w:w="11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17 Oct</w:t>
            </w:r>
          </w:p>
        </w:tc>
        <w:tc>
          <w:tcPr>
            <w:tcW w:type="dxa" w:w="12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DEC-04, G3</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Confirm the F3 identity schema can take Organisation/Membership and guardian links as additive tables in R2, with no change to R1 data</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Architect</w:t>
            </w:r>
          </w:p>
        </w:tc>
        <w:tc>
          <w:tcPr>
            <w:tcW w:type="dxa" w:w="11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17 Oct</w:t>
            </w:r>
          </w:p>
        </w:tc>
        <w:tc>
          <w:tcPr>
            <w:tcW w:type="dxa" w:w="12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G2, G3</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Brief marketing and stakeholders: R1 delivers shared identity with separate app logins, not SSO, and no wallet</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PO / Srivin Delivery Lead</w:t>
            </w:r>
          </w:p>
        </w:tc>
        <w:tc>
          <w:tcPr>
            <w:tcW w:type="dxa" w:w="11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19 Oct</w:t>
            </w:r>
          </w:p>
        </w:tc>
        <w:tc>
          <w:tcPr>
            <w:tcW w:type="dxa" w:w="12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C1, C2</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4</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Add CERT-In incident-reporting steps and log-retention settings to the launch runbook</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DevOps / SportSeek Ops</w:t>
            </w:r>
          </w:p>
        </w:tc>
        <w:tc>
          <w:tcPr>
            <w:tcW w:type="dxa" w:w="11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19 Oct</w:t>
            </w:r>
          </w:p>
        </w:tc>
        <w:tc>
          <w:tcPr>
            <w:tcW w:type="dxa" w:w="12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Section 9</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5</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Table this register at the first post-launch steering meeting; assign owners to every Open item</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Delivery Lead</w:t>
            </w:r>
          </w:p>
        </w:tc>
        <w:tc>
          <w:tcPr>
            <w:tcW w:type="dxa" w:w="11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23 Oct</w:t>
            </w:r>
          </w:p>
        </w:tc>
        <w:tc>
          <w:tcPr>
            <w:tcW w:type="dxa" w:w="12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All</w:t>
            </w:r>
          </w:p>
        </w:tc>
      </w:tr>
    </w:tbl>
    <w:p>
      <w:pPr>
        <w:spacing w:after="140"/>
      </w:pPr>
    </w:p>
    <w:p>
      <w:pPr>
        <w:sectPr>
          <w:headerReference w:type="default" r:id="rId19"/>
          <w:headerReference w:type="first" r:id="rId20"/>
          <w:footerReference w:type="default" r:id="rId21"/>
          <w:footerReference w:type="first" r:id="rId22"/>
          <w:pgSz w:w="11906" w:h="16838" w:orient="portrait"/>
          <w:pgMar w:top="1134" w:right="1134" w:bottom="1134" w:left="1134" w:header="560" w:footer="560" w:gutter="0"/>
          <w:pgNumType/>
          <w:titlePg w:val="false"/>
          <w:docGrid w:linePitch="360"/>
        </w:sectPr>
      </w:pPr>
    </w:p>
    <w:p>
      <w:pPr>
        <w:pStyle w:val="Heading1"/>
      </w:pPr>
      <w:r>
        <w:t xml:space="preserve">9. Industry best practices and standards</w:t>
      </w:r>
    </w:p>
    <w:p>
      <w:pPr>
        <w:spacing w:after="120" w:line="276"/>
      </w:pPr>
      <w:r>
        <w:rPr>
          <w:rFonts w:ascii="Arial" w:cs="Arial" w:eastAsia="Arial" w:hAnsi="Arial"/>
          <w:color w:val="1A1A1A"/>
        </w:rPr>
        <w:t xml:space="preserve">The practices below are the industry standards Srivin recommends SportSeek adopt across the platform, with how each applies to SportSeek and where it stands today. </w:t>
      </w:r>
      <w:r>
        <w:rPr>
          <w:rFonts w:ascii="Arial" w:cs="Arial" w:eastAsia="Arial" w:hAnsi="Arial"/>
          <w:b/>
          <w:bCs/>
          <w:color w:val="1A1A1A"/>
        </w:rPr>
        <w:t xml:space="preserve">Adopted</w:t>
      </w:r>
      <w:r>
        <w:rPr>
          <w:rFonts w:ascii="Arial" w:cs="Arial" w:eastAsia="Arial" w:hAnsi="Arial"/>
          <w:color w:val="1A1A1A"/>
        </w:rPr>
        <w:t xml:space="preserve"> = already in the Srivin plan; </w:t>
      </w:r>
      <w:r>
        <w:rPr>
          <w:rFonts w:ascii="Arial" w:cs="Arial" w:eastAsia="Arial" w:hAnsi="Arial"/>
          <w:b/>
          <w:bCs/>
          <w:color w:val="1A1A1A"/>
        </w:rPr>
        <w:t xml:space="preserve">Partial</w:t>
      </w:r>
      <w:r>
        <w:rPr>
          <w:rFonts w:ascii="Arial" w:cs="Arial" w:eastAsia="Arial" w:hAnsi="Arial"/>
          <w:color w:val="1A1A1A"/>
        </w:rPr>
        <w:t xml:space="preserve"> = in the plan with a gap; </w:t>
      </w:r>
      <w:r>
        <w:rPr>
          <w:rFonts w:ascii="Arial" w:cs="Arial" w:eastAsia="Arial" w:hAnsi="Arial"/>
          <w:b/>
          <w:bCs/>
          <w:color w:val="1A1A1A"/>
        </w:rPr>
        <w:t xml:space="preserve">Planned</w:t>
      </w:r>
      <w:r>
        <w:rPr>
          <w:rFonts w:ascii="Arial" w:cs="Arial" w:eastAsia="Arial" w:hAnsi="Arial"/>
          <w:color w:val="1A1A1A"/>
        </w:rPr>
        <w:t xml:space="preserve"> = to be added in the HLD or a later release; </w:t>
      </w:r>
      <w:r>
        <w:rPr>
          <w:rFonts w:ascii="Arial" w:cs="Arial" w:eastAsia="Arial" w:hAnsi="Arial"/>
          <w:b/>
          <w:bCs/>
          <w:color w:val="1A1A1A"/>
        </w:rPr>
        <w:t xml:space="preserve">Gap</w:t>
      </w:r>
      <w:r>
        <w:rPr>
          <w:rFonts w:ascii="Arial" w:cs="Arial" w:eastAsia="Arial" w:hAnsi="Arial"/>
          <w:color w:val="1A1A1A"/>
        </w:rPr>
        <w:t xml:space="preserve"> = not yet planned and linked to a register item. Regulatory references need confirmation by SportSeek's advisers.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76"/>
        <w:gridCol w:w="3441"/>
        <w:gridCol w:w="2982"/>
        <w:gridCol w:w="4359"/>
        <w:gridCol w:w="1261"/>
        <w:gridCol w:w="1151"/>
      </w:tblGrid>
      <w:tr>
        <w:trPr>
          <w:cantSplit/>
          <w:tblHeader/>
        </w:trPr>
        <w:tc>
          <w:tcPr>
            <w:tcW w:type="dxa" w:w="137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Area</w:t>
            </w:r>
          </w:p>
        </w:tc>
        <w:tc>
          <w:tcPr>
            <w:tcW w:type="dxa" w:w="344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Practice</w:t>
            </w:r>
          </w:p>
        </w:tc>
        <w:tc>
          <w:tcPr>
            <w:tcW w:type="dxa" w:w="298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Standard / reference</w:t>
            </w:r>
          </w:p>
        </w:tc>
        <w:tc>
          <w:tcPr>
            <w:tcW w:type="dxa" w:w="435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How it applies to SportSeek</w:t>
            </w:r>
          </w:p>
        </w:tc>
        <w:tc>
          <w:tcPr>
            <w:tcW w:type="dxa" w:w="126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Status</w:t>
            </w:r>
          </w:p>
        </w:tc>
        <w:tc>
          <w:tcPr>
            <w:tcW w:type="dxa" w:w="115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4"/>
                <w:szCs w:val="14"/>
              </w:rPr>
              <w:t xml:space="preserve">Link</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Architecture</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Bounded contexts and a modular monolith with enforced boundaries; extract services only on evidence</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Domain-Driven Design; SOW §6</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One module per domain, schema per domain, architecture tests in CI</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§5</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Architecture</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Architecture documented as code with decision records</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C4 model; Architecture Decision Records (ADRs)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C4 context/container views kept in repo; ADR for every significant choice (DEC-11, 15, 18…)</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§11–12</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Architecture</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Cloud workloads reviewed against the provider's well-architected pillars</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AWS Well-Architected / Google Cloud Architecture Framework</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Review at HLD and before R6 (security, reliability, cost, performance, operations)</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Planned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DEC-07</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Architecture</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Twelve-factor application practices</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The Twelve-Factor App</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Config in environment, stateless processes, disposability, dev/prod parity</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§8</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APIs</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Contract-first APIs with a published specification</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OpenAPI 3.x</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OpenAPI per module; Postman collections generated (SOW §13); contract tests in CI</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§8</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APIs</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Standard error format and safe retries</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RFC 9457 Problem Details; idempotency keys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One error envelope across APIs; idempotency keys on payment, refund and booking commands</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 (errors: Planned)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§6.4</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APIs</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API security baseline</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OWASP API Security Top 10</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Object-level authorisation checks, rate limits, input validation, inventory of endpoints</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Planned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§7.1</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Identity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Standards-based authentication for public clients</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OAuth 2.0 + OpenID Connect; PKCE (RFC 7636); OAuth 2.0 Security BCP (RFC 9700)</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OIDC client per app, PKCE on mobile/web, short-lived tokens, refresh-token rotation</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F3</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Identity</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Authenticator and recovery assurance</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NIST SP 800-63B</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OTP throttling, lockout, secure recovery, step-up for payouts and KYC changes</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Partial</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G3, F3</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Identity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Organisation-scoped access control</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RBAC / attribute-based policies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Org membership roles for academies, facilities, brands</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Gap</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G2</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Security</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Application security verification standard</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OWASP ASVS (web/API); OWASP MASVS (mobile)</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ASVS Level 2 target for identity, payments and admin; MASVS for both apps</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§7.1</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Security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Secure software supply chain</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SBOM (CycloneDX or SPDX); SLSA build provenance</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SBOM per build, dependency scanning, signed artefacts</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Planned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Security</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Information security management</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ISO/IEC 27001</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Policies, access reviews, supplier controls aligned to 27001; certification is SportSeek's choice</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Planned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Security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Cyber-incident reporting and log retention in India</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CERT-In Directions (April 2022)</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Incident reporting within the mandated window; system logs retained as required; synchronised clocks</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Gap</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add to runbook</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Payments</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Card-data scope minimisation</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PCI DSS v4.0</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Gateway-hosted checkout and tokenisation; no card or UPI credentials stored</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§6.5</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Payments</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Regulated money flows</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RBI Payment Aggregator and PPI frameworks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Route split settlement; no stored balance (C2)</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C2, DEC-02</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Payments</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Correct financial records</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Double-entry bookkeeping; daily reconciliation</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Order line items (G4); reconciliation vs gateway; separate rewards ledger (G6)</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Partial</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G4, G6</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Privacy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Personal-data protection law</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DPDP Act, 2023 and DPDP Rules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Notice, consent, purpose limitation, rights handling, breach response; children's data controls</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Partial</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G3</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Privacy</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Privacy information management</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ISO/IEC 27701; privacy by design</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Data inventory, retention schedule, privacy reviews for new features</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Planned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Data</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Interoperable, versioned event contracts</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CloudEvents; schema registry; data contracts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Event taxonomy with versioning and consent flags from R2</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Planned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G9</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Data</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Backup and recovery objectives</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Defined RPO/RTO; 3-2-1 backups; restore drills</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PITR on PostgreSQL; quarterly restore drill; RPO/RTO agreed with SportSeek</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Partial</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DEC-06</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Reliability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Service level objectives and error budgets</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Google SRE practices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SLOs for login, booking, payment; error budget guides release pace</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Planned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DEC-06</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Reliability</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Unified telemetry</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OpenTelemetry</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Traces, metrics and logs from .NET services and mobile crash reporting</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§7.4</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Delivery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Delivery performance measurement</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DORA metrics</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Deployment frequency, lead time, change failure rate, time to restore — reported monthly</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DLM §19</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Delivery</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Progressive delivery</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Feature flags; phased store rollouts</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Flags per feature; F3 remote switch; staged mobile rollouts</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DLM §13</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Delivery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Infrastructure as code</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IaC with peer review (e.g. Terraform)</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All environments in code; no manual production change</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§8</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Quality</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Accessibility</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WCAG 2.1 AA (2.2 recommended)</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Web and app accessibility checks per release</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TAD §6.6</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Quality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Balanced automated testing</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Test pyramid; contract testing</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Unit/API/contract in CI; curated E2E; regression per release</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Adopted</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DLM §12</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AI</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AI risk and management systems</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NIST AI RMF; ISO/IEC 42001</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Governs AI-assisted engineering now and AI features later (recommendations, moderation)</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Partial</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DLM §14</w:t>
            </w:r>
          </w:p>
        </w:tc>
      </w:tr>
      <w:tr>
        <w:trPr>
          <w:cantSplit/>
        </w:trPr>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Trust &amp; safety</w:t>
            </w:r>
          </w:p>
        </w:tc>
        <w:tc>
          <w:tcPr>
            <w:tcW w:type="dxa" w:w="34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Grievance and moderation duties for user content</w:t>
            </w:r>
          </w:p>
        </w:tc>
        <w:tc>
          <w:tcPr>
            <w:tcW w:type="dxa" w:w="29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IT (Intermediary Guidelines and Digital Media Ethics Code) Rules, 2021</w:t>
            </w:r>
          </w:p>
        </w:tc>
        <w:tc>
          <w:tcPr>
            <w:tcW w:type="dxa" w:w="43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Grievance officer, reporting and takedown workflow before Community</w:t>
            </w:r>
          </w:p>
        </w:tc>
        <w:tc>
          <w:tcPr>
            <w:tcW w:type="dxa" w:w="12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Gap</w:t>
            </w:r>
          </w:p>
        </w:tc>
        <w:tc>
          <w:tcPr>
            <w:tcW w:type="dxa" w:w="115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G12</w:t>
            </w:r>
          </w:p>
        </w:tc>
      </w:tr>
      <w:tr>
        <w:trPr>
          <w:cantSplit/>
        </w:trPr>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Marketplace</w:t>
            </w:r>
          </w:p>
        </w:tc>
        <w:tc>
          <w:tcPr>
            <w:tcW w:type="dxa" w:w="34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4"/>
                <w:szCs w:val="14"/>
              </w:rPr>
              <w:t xml:space="preserve">E-commerce consumer obligations</w:t>
            </w:r>
          </w:p>
        </w:tc>
        <w:tc>
          <w:tcPr>
            <w:tcW w:type="dxa" w:w="29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Consumer Protection (E-Commerce) Rules, 2020</w:t>
            </w:r>
          </w:p>
        </w:tc>
        <w:tc>
          <w:tcPr>
            <w:tcW w:type="dxa" w:w="43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Seller disclosures, returns/refund policy, grievance handling before Marketplace</w:t>
            </w:r>
          </w:p>
        </w:tc>
        <w:tc>
          <w:tcPr>
            <w:tcW w:type="dxa" w:w="12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Gap</w:t>
            </w:r>
          </w:p>
        </w:tc>
        <w:tc>
          <w:tcPr>
            <w:tcW w:type="dxa" w:w="115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4"/>
                <w:szCs w:val="14"/>
              </w:rPr>
              <w:t xml:space="preserve">C4, G12</w:t>
            </w:r>
          </w:p>
        </w:tc>
      </w:tr>
    </w:tbl>
    <w:p>
      <w:pPr>
        <w:spacing w:after="140"/>
      </w:pPr>
    </w:p>
    <w:p>
      <w:pPr>
        <w:sectPr>
          <w:headerReference w:type="default" r:id="rId23"/>
          <w:headerReference w:type="first" r:id="rId24"/>
          <w:footerReference w:type="default" r:id="rId25"/>
          <w:footerReference w:type="first" r:id="rId26"/>
          <w:pgSz w:w="16838" w:h="11906" w:orient="landscape"/>
          <w:pgMar w:top="1134" w:right="1134" w:bottom="1134" w:left="1134" w:header="560" w:footer="560" w:gutter="0"/>
          <w:pgNumType/>
          <w:titlePg w:val="false"/>
          <w:docGrid w:linePitch="360"/>
        </w:sectPr>
      </w:pPr>
    </w:p>
    <w:p>
      <w:pPr>
        <w:pStyle w:val="Heading1"/>
      </w:pPr>
      <w:r>
        <w:t xml:space="preserve">10. Register governance and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9"/>
        <w:gridCol w:w="2629"/>
      </w:tblGrid>
      <w:tr>
        <w:trPr>
          <w:cantSplit/>
          <w:tblHeader/>
        </w:trPr>
        <w:tc>
          <w:tcPr>
            <w:tcW w:type="dxa" w:w="700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Status of best practices</w:t>
            </w:r>
          </w:p>
        </w:tc>
        <w:tc>
          <w:tcPr>
            <w:tcW w:type="dxa" w:w="262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Count</w:t>
            </w:r>
          </w:p>
        </w:tc>
      </w:tr>
      <w:tr>
        <w:trPr>
          <w:cantSplit/>
        </w:trPr>
        <w:tc>
          <w:tcPr>
            <w:tcW w:type="dxa" w:w="7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Adopted</w:t>
            </w:r>
          </w:p>
        </w:tc>
        <w:tc>
          <w:tcPr>
            <w:tcW w:type="dxa" w:w="26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15</w:t>
            </w:r>
          </w:p>
        </w:tc>
      </w:tr>
      <w:tr>
        <w:trPr>
          <w:cantSplit/>
        </w:trPr>
        <w:tc>
          <w:tcPr>
            <w:tcW w:type="dxa" w:w="7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Partial</w:t>
            </w:r>
          </w:p>
        </w:tc>
        <w:tc>
          <w:tcPr>
            <w:tcW w:type="dxa" w:w="26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5</w:t>
            </w:r>
          </w:p>
        </w:tc>
      </w:tr>
      <w:tr>
        <w:trPr>
          <w:cantSplit/>
        </w:trPr>
        <w:tc>
          <w:tcPr>
            <w:tcW w:type="dxa" w:w="7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Planned</w:t>
            </w:r>
          </w:p>
        </w:tc>
        <w:tc>
          <w:tcPr>
            <w:tcW w:type="dxa" w:w="26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7</w:t>
            </w:r>
          </w:p>
        </w:tc>
      </w:tr>
      <w:tr>
        <w:trPr>
          <w:cantSplit/>
        </w:trPr>
        <w:tc>
          <w:tcPr>
            <w:tcW w:type="dxa" w:w="7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Gap</w:t>
            </w:r>
          </w:p>
        </w:tc>
        <w:tc>
          <w:tcPr>
            <w:tcW w:type="dxa" w:w="26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4</w:t>
            </w:r>
          </w:p>
        </w:tc>
      </w:tr>
    </w:tbl>
    <w:p>
      <w:pPr>
        <w:spacing w:after="140"/>
      </w:pPr>
    </w:p>
    <w:p>
      <w:pPr>
        <w:pStyle w:val="Heading2"/>
        <w:keepNext/>
      </w:pPr>
      <w:r>
        <w:t xml:space="preserve">Governance</w:t>
      </w:r>
    </w:p>
    <w:p>
      <w:pPr>
        <w:pStyle w:val="ListParagraph"/>
        <w:numPr>
          <w:ilvl w:val="0"/>
          <w:numId w:val="3"/>
        </w:numPr>
        <w:spacing w:after="60" w:line="264"/>
      </w:pPr>
      <w:r>
        <w:rPr>
          <w:rFonts w:ascii="Arial" w:cs="Arial" w:eastAsia="Arial" w:hAnsi="Arial"/>
          <w:b/>
          <w:bCs/>
          <w:color w:val="1A1A1A"/>
        </w:rPr>
        <w:t xml:space="preserve">Owner of the register:</w:t>
      </w:r>
      <w:r>
        <w:rPr>
          <w:rFonts w:ascii="Arial" w:cs="Arial" w:eastAsia="Arial" w:hAnsi="Arial"/>
          <w:color w:val="1A1A1A"/>
        </w:rPr>
        <w:t xml:space="preserve"> Srivin Delivery Lead. </w:t>
      </w:r>
      <w:r>
        <w:rPr>
          <w:rFonts w:ascii="Arial" w:cs="Arial" w:eastAsia="Arial" w:hAnsi="Arial"/>
          <w:b/>
          <w:bCs/>
          <w:color w:val="1A1A1A"/>
        </w:rPr>
        <w:t xml:space="preserve">Review:</w:t>
      </w:r>
      <w:r>
        <w:rPr>
          <w:rFonts w:ascii="Arial" w:cs="Arial" w:eastAsia="Arial" w:hAnsi="Arial"/>
          <w:color w:val="1A1A1A"/>
        </w:rPr>
        <w:t xml:space="preserve"> weekly in the programme status meeting; monthly at the release review / steering committee.</w:t>
      </w:r>
    </w:p>
    <w:p>
      <w:pPr>
        <w:pStyle w:val="ListParagraph"/>
        <w:numPr>
          <w:ilvl w:val="0"/>
          <w:numId w:val="3"/>
        </w:numPr>
        <w:spacing w:after="60" w:line="264"/>
      </w:pPr>
      <w:r>
        <w:rPr>
          <w:rFonts w:ascii="Arial" w:cs="Arial" w:eastAsia="Arial" w:hAnsi="Arial"/>
          <w:b/>
          <w:bCs/>
          <w:color w:val="1A1A1A"/>
        </w:rPr>
        <w:t xml:space="preserve">Closing an item:</w:t>
      </w:r>
      <w:r>
        <w:rPr>
          <w:rFonts w:ascii="Arial" w:cs="Arial" w:eastAsia="Arial" w:hAnsi="Arial"/>
          <w:color w:val="1A1A1A"/>
        </w:rPr>
        <w:t xml:space="preserve"> the decision is recorded with date and outcome, and the change is reflected in the Technical Approach (TDD), the WBS and, where needed, a change request under SOW §18.</w:t>
      </w:r>
    </w:p>
    <w:p>
      <w:pPr>
        <w:pStyle w:val="ListParagraph"/>
        <w:numPr>
          <w:ilvl w:val="0"/>
          <w:numId w:val="3"/>
        </w:numPr>
        <w:spacing w:after="60" w:line="264"/>
      </w:pPr>
      <w:r>
        <w:rPr>
          <w:rFonts w:ascii="Arial" w:cs="Arial" w:eastAsia="Arial" w:hAnsi="Arial"/>
          <w:b/>
          <w:bCs/>
          <w:color w:val="1A1A1A"/>
        </w:rPr>
        <w:t xml:space="preserve">Escalation:</w:t>
      </w:r>
      <w:r>
        <w:rPr>
          <w:rFonts w:ascii="Arial" w:cs="Arial" w:eastAsia="Arial" w:hAnsi="Arial"/>
          <w:color w:val="1A1A1A"/>
        </w:rPr>
        <w:t xml:space="preserve"> a decision not taken by its need-by date is escalated one level (Delivery Model §10), with the release impact stated.</w:t>
      </w:r>
    </w:p>
    <w:p>
      <w:pPr>
        <w:pStyle w:val="Heading2"/>
        <w:keepNext/>
      </w:pPr>
      <w:r>
        <w:t xml:space="preserve">Next steps</w:t>
      </w:r>
    </w:p>
    <w:p>
      <w:pPr>
        <w:pStyle w:val="ListParagraph"/>
        <w:numPr>
          <w:ilvl w:val="0"/>
          <w:numId w:val="4"/>
        </w:numPr>
        <w:spacing w:after="60" w:line="264"/>
      </w:pPr>
      <w:r>
        <w:rPr>
          <w:rFonts w:ascii="Arial" w:cs="Arial" w:eastAsia="Arial" w:hAnsi="Arial"/>
          <w:color w:val="1A1A1A"/>
        </w:rPr>
        <w:t xml:space="preserve">Steering review of this register and assignment of owners (by 23 Oct 2026).</w:t>
      </w:r>
    </w:p>
    <w:p>
      <w:pPr>
        <w:pStyle w:val="ListParagraph"/>
        <w:numPr>
          <w:ilvl w:val="0"/>
          <w:numId w:val="4"/>
        </w:numPr>
        <w:spacing w:after="60" w:line="264"/>
      </w:pPr>
      <w:r>
        <w:rPr>
          <w:rFonts w:ascii="Arial" w:cs="Arial" w:eastAsia="Arial" w:hAnsi="Arial"/>
          <w:color w:val="1A1A1A"/>
        </w:rPr>
        <w:t xml:space="preserve">HLD sign-off incorporates DEC-05, 07, 11, 14, 17, 18 and 21 (23 Oct 2026).</w:t>
      </w:r>
    </w:p>
    <w:p>
      <w:pPr>
        <w:pStyle w:val="ListParagraph"/>
        <w:numPr>
          <w:ilvl w:val="0"/>
          <w:numId w:val="4"/>
        </w:numPr>
        <w:spacing w:after="60" w:line="264"/>
      </w:pPr>
      <w:r>
        <w:rPr>
          <w:rFonts w:ascii="Arial" w:cs="Arial" w:eastAsia="Arial" w:hAnsi="Arial"/>
          <w:color w:val="1A1A1A"/>
        </w:rPr>
        <w:t xml:space="preserve">Technical Approach (TDD) updated to v2.2 once the HLD decisions are taken, as agreed with SportSeek.</w:t>
      </w:r>
    </w:p>
    <w:p>
      <w:pPr>
        <w:pStyle w:val="ListParagraph"/>
        <w:numPr>
          <w:ilvl w:val="0"/>
          <w:numId w:val="4"/>
        </w:numPr>
        <w:spacing w:after="60" w:line="264"/>
      </w:pPr>
      <w:r>
        <w:rPr>
          <w:rFonts w:ascii="Arial" w:cs="Arial" w:eastAsia="Arial" w:hAnsi="Arial"/>
          <w:color w:val="1A1A1A"/>
        </w:rPr>
        <w:t xml:space="preserve">WBS and dependency register updated for any decision that changes release scope.</w:t>
      </w:r>
    </w:p>
    <w:sectPr>
      <w:headerReference w:type="default" r:id="rId27"/>
      <w:headerReference w:type="first" r:id="rId28"/>
      <w:footerReference w:type="default" r:id="rId29"/>
      <w:footerReference w:type="first" r:id="rId30"/>
      <w:pgSz w:w="11906" w:h="16838" w:orient="portrait"/>
      <w:pgMar w:top="1134" w:right="1134" w:bottom="1134" w:left="1134" w:header="560" w:footer="5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Gap &amp; Decision Register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Gap &amp; Decision Register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Gap &amp; Decision Register</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Gap &amp; Decision Register</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Gap &amp; Decision Register</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Gap &amp; Decision Register</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F6E7A"/>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SportSeek Phase 2A — Gap &amp; Decision Register</dc:title>
  <dc:creator>Srivin Platforms</dc:creator>
  <dc:description>Gap &amp; Decision Register</dc:description>
  <cp:lastModifiedBy>Un-named</cp:lastModifiedBy>
  <cp:revision>1</cp:revision>
  <dcterms:created xsi:type="dcterms:W3CDTF">2026-10-15T09:21:15.422Z</dcterms:created>
  <dcterms:modified xsi:type="dcterms:W3CDTF">2026-10-15T09:21:15.424Z</dcterms:modified>
</cp:coreProperties>
</file>

<file path=docProps/custom.xml><?xml version="1.0" encoding="utf-8"?>
<Properties xmlns="http://schemas.openxmlformats.org/officeDocument/2006/custom-properties" xmlns:vt="http://schemas.openxmlformats.org/officeDocument/2006/docPropsVTypes"/>
</file>