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F6E7A" w:sz="18" w:space="6"/>
        </w:pBdr>
        <w:spacing w:after="40"/>
      </w:pPr>
      <w:r>
        <w:rPr>
          <w:rFonts w:ascii="Arial" w:cs="Arial" w:eastAsia="Arial" w:hAnsi="Arial"/>
          <w:b/>
          <w:bCs/>
          <w:color w:val="1F3864"/>
          <w:spacing w:val="60"/>
          <w:sz w:val="30"/>
          <w:szCs w:val="30"/>
        </w:rPr>
        <w:t xml:space="preserve">SRIVIN PLATFORMS</w:t>
      </w:r>
    </w:p>
    <w:p>
      <w:pPr>
        <w:spacing w:after="1800"/>
      </w:pPr>
      <w:r>
        <w:rPr>
          <w:rFonts w:ascii="Arial" w:cs="Arial" w:eastAsia="Arial" w:hAnsi="Arial"/>
          <w:b w:val="false"/>
          <w:bCs w:val="false"/>
          <w:color w:val="5A5A5A"/>
          <w:sz w:val="18"/>
          <w:szCs w:val="18"/>
        </w:rPr>
        <w:t xml:space="preserve">Delivery partner to RacingAhead / SportSeek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F6E7A"/>
          <w:sz w:val="24"/>
          <w:szCs w:val="24"/>
        </w:rPr>
        <w:t xml:space="preserve">SportSeek — Unified Sports Ecosystem Platform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Project Delivery Model</w:t>
      </w:r>
    </w:p>
    <w:p>
      <w:pPr>
        <w:spacing w:after="900"/>
      </w:pPr>
      <w:r>
        <w:rPr>
          <w:rFonts w:ascii="Arial" w:cs="Arial" w:eastAsia="Arial" w:hAnsi="Arial"/>
          <w:b w:val="false"/>
          <w:bCs w:val="false"/>
          <w:color w:val="1A1A1A"/>
          <w:sz w:val="26"/>
          <w:szCs w:val="26"/>
        </w:rPr>
        <w:t xml:space="preserve">How Srivin Platforms delivers SportSeek Phase 2A with an AI-native pod: public launch on 20 October 2026, then an average of two features in production every month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Document control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Document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SRV-SPS-2A-DLM-002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Programme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SportSeek Phase 2 — Phase 2A (Harden &amp; Unify)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Client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RacingAhead / SportSeek, Hyderabad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Srivin Platforms — Technical Programme Management Office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Version / date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v2.1 (AI-native release train; Shared Identity in R1) — 27 September 2026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Issued for client review — supersedes v2.0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Reference baseline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SportSeek Phase 2 SOW v1.0 (15 Jul 2026); SportsSeek App High Level Requirements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7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Confidential — RacingAhead / SportSeek and Srivin Platforms only</w:t>
            </w:r>
          </w:p>
        </w:tc>
      </w:tr>
    </w:tbl>
    <w:p>
      <w:pPr>
        <w:spacing w:after="140"/>
      </w:pP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134" w:right="1134" w:bottom="1134" w:left="1134" w:header="560" w:footer="560" w:gutter="0"/>
          <w:pgNumType/>
          <w:titlePg/>
          <w:docGrid w:linePitch="360"/>
        </w:sectPr>
      </w:pPr>
    </w:p>
    <w:p>
      <w:pPr>
        <w:spacing w:after="200" w:before="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Contents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1. Purpose and scope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2. Our understanding of the engagement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3. Why AI-native, and what it changes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4. Delivery model at a glance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5. The AI-augmented delivery lifecycle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6. R1: the 20 October launch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7. The monthly release train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8. The AI-native pod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9. RACI matrix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10. Governance, escalation and decisions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11. Communication plan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12. Quality management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13. Environments, releases and feature flags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14. AI governance: security, confidentiality and IP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15. Knowledge transfer and transition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16. Change management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17. Risk management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18. Hypercare, warranty and support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19. Delivery metrics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20. Tooling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21. Commercial alignment</w:t>
      </w:r>
    </w:p>
    <w:p>
      <w:pPr>
        <w:pBdr>
          <w:bottom w:val="dotted" w:color="D5D8DE" w:sz="4" w:space="3"/>
        </w:pBdr>
        <w:spacing w:after="9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22. Our commitments to SportSeek</w:t>
      </w:r>
    </w:p>
    <w:p>
      <w:pPr>
        <w:pStyle w:val="Heading1"/>
        <w:pageBreakBefore/>
      </w:pPr>
      <w:r>
        <w:t xml:space="preserve">1. Purpose and scope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This document sets out how Srivin Platforms will deliver Phase 2A of the SportSeek programme for RacingAhead / SportSeek. It covers the AI-augmented lifecycle, the monthly release train, the pod, governance, the guardrails around AI, quality, knowledge transfer and support. Every ceremony, gate and control described here is one we will run.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The schedule, feature catalogue and resource loading are in SRV-SPS-2A-PLN-001 (WBS &amp; Integrated Project Plan). The engineering approach is in SRV-SPS-2A-TAD-003 (Technical Approach). Scope references cite the SportSeek Phase 2 SOW v1.0 as "SOW §n".</w:t>
      </w:r>
    </w:p>
    <w:p>
      <w:pPr>
        <w:pStyle w:val="Heading1"/>
        <w:pageBreakBefore/>
      </w:pPr>
      <w:r>
        <w:t xml:space="preserve">2. Our understanding of the engagement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Phase 1 is live with a User App, a Partner App and an Admin Web Portal, built on </w:t>
      </w:r>
      <w:r>
        <w:rPr>
          <w:rFonts w:ascii="Arial" w:cs="Arial" w:eastAsia="Arial" w:hAnsi="Arial"/>
          <w:b/>
          <w:bCs/>
          <w:color w:val="1A1A1A"/>
        </w:rPr>
        <w:t xml:space="preserve">React Native, .NET and PostgreSQL</w:t>
      </w:r>
      <w:r>
        <w:rPr>
          <w:rFonts w:ascii="Arial" w:cs="Arial" w:eastAsia="Arial" w:hAnsi="Arial"/>
          <w:color w:val="1A1A1A"/>
        </w:rPr>
        <w:t xml:space="preserve">, with a payment gateway and SMS alerts already integrated (SOW §2.1). Phase 2A must unify identity, generalise partners, harden bookings, add a Transaction Ledger, expand notifications and deliver a web application (SOW §3.1). It must do so without disrupting a live product, and with SportSeek owning every account, repository and tool (SOW §5, §15).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SportSeek chose Srivin for </w:t>
      </w:r>
      <w:r>
        <w:rPr>
          <w:rFonts w:ascii="Arial" w:cs="Arial" w:eastAsia="Arial" w:hAnsi="Arial"/>
          <w:b/>
          <w:bCs/>
          <w:color w:val="1A1A1A"/>
        </w:rPr>
        <w:t xml:space="preserve">speed to market</w:t>
      </w:r>
      <w:r>
        <w:rPr>
          <w:rFonts w:ascii="Arial" w:cs="Arial" w:eastAsia="Arial" w:hAnsi="Arial"/>
          <w:color w:val="1A1A1A"/>
        </w:rPr>
        <w:t xml:space="preserve">. A plan that simply staffs a large team to a conventional timeline would give SportSeek nothing it could not do in-house. This model is built to put working features in customers' hands every month, starting on launch day.</w:t>
      </w:r>
    </w:p>
    <w:p>
      <w:pPr>
        <w:pStyle w:val="Heading1"/>
        <w:pageBreakBefore/>
      </w:pPr>
      <w:r>
        <w:t xml:space="preserve">3. Why AI-native, and what it changes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Conventional delivery</w:t>
            </w:r>
          </w:p>
        </w:tc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Srivin AI-native delivery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Large team; much of the effort goes into writing first-draft code, tests and documents</w:t>
            </w:r>
          </w:p>
        </w:tc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Small senior pod; AI agents produce first drafts, and engineers spend their time on design, review and hard problems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Quarterly-style milestones; value arrives late</w:t>
            </w:r>
          </w:p>
        </w:tc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A release every month, averaging two features each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, from 20 Oct 2026; Shared Identity live at launch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Documentation written at the end, often stale</w:t>
            </w:r>
          </w:p>
        </w:tc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Documentation generated and updated with every change; always current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KT as a 2–4 week event after each milestone</w:t>
            </w:r>
          </w:p>
        </w:tc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Continuous KT: SportSeek developers work inside the pod; a signed checklist every release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Regression testing grows slower as scope grows</w:t>
            </w:r>
          </w:p>
        </w:tc>
        <w:tc>
          <w:tcPr>
            <w:tcW w:type="dxa" w:w="481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AI-generated regression suites grow with every feature and run on every merge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3.1 Principles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cantSplit/>
          <w:tblHeader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Principle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 practice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Humans own every outcome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drafts; a named senior engineer reviews, tests and merges. No AI output reaches production without human review and passing quality gates.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Specs before code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Every feature starts from an approved specification (story, API contract, data changes, UI, acceptance tests). The spec is what the agents build from, so quality starts upstream.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Fixed dates, flexible scope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The monthly train always leaves. A feature that is not ready rides the next one behind a feature flag.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Production first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is live with real payments: regression, rollback and monitoring are in place before anything ships.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Transparent by default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sees the same backlog, demos, metrics and AI usage data we do.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ownership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All code, prompts/specs, documentation and AI-generated artefacts are SportSeek's (SOW §19). Everything lives in SportSeek's accounts.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F6E7A" w:sz="24"/>
              <w:bottom w:val="none" w:color="FFFFFF" w:sz="0"/>
              <w:right w:val="none" w:color="FFFFFF" w:sz="0"/>
            </w:tcBorders>
            <w:shd w:fill="E8F1F2" w:color="auto" w:val="clear"/>
            <w:tcMar>
              <w:top w:type="dxa" w:w="110"/>
              <w:left w:type="dxa" w:w="180"/>
              <w:bottom w:type="dxa" w:w="11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6E7A"/>
                <w:sz w:val="20"/>
                <w:szCs w:val="20"/>
              </w:rPr>
              <w:t xml:space="preserve">What AI does not speed up, and how we plan for it</w:t>
            </w:r>
          </w:p>
          <w:p>
            <w:pPr>
              <w:spacing w:after="50" w:line="26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SportSeek decisions, UI approvals, UAT, app-store review, manual penetration testing and third-party approvals (Razorpay Route, DLT and WhatsApp templates) take the time they take. The plan gives each one a dated slot and a need-by date. When one is late, the affected feature moves to the next train and the release still ships.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t xml:space="preserve">4. Delivery model at a glance</w:t>
      </w:r>
    </w:p>
    <w:p>
      <w:pPr>
        <w:spacing w:after="60"/>
        <w:jc w:val="center"/>
      </w:pPr>
      <w:r>
        <w:drawing>
          <wp:inline distT="0" distB="0" distL="0" distR="0">
            <wp:extent cx="6096000" cy="1971675"/>
            <wp:effectExtent t="0" r="0" b="0" l="0"/>
            <wp:docPr id="1" name="fig" descr="Figure 1 — Six monthly releases, twelve features" title="Figure 1 — Six monthly releases, twelve featu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Figure 1 — Six monthly releases, twelve features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855"/>
        <w:gridCol w:w="1927"/>
        <w:gridCol w:w="1929"/>
      </w:tblGrid>
      <w:tr>
        <w:trPr>
          <w:cantSplit/>
          <w:tblHeader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Mechanism</w:t>
            </w:r>
          </w:p>
        </w:tc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Cadence</w:t>
            </w:r>
          </w:p>
        </w:tc>
        <w:tc>
          <w:tcPr>
            <w:tcW w:type="dxa" w:w="192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Who decides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Programme</w:t>
            </w:r>
          </w:p>
        </w:tc>
        <w:tc>
          <w:tcPr>
            <w:tcW w:type="dxa" w:w="3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Release-train plan, RAID, dependency register, change control</w:t>
            </w:r>
          </w:p>
        </w:tc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Monthly release review</w:t>
            </w:r>
          </w:p>
        </w:tc>
        <w:tc>
          <w:tcPr>
            <w:tcW w:type="dxa" w:w="192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Sponsor + Product Owner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</w:t>
            </w:r>
          </w:p>
        </w:tc>
        <w:tc>
          <w:tcPr>
            <w:tcW w:type="dxa" w:w="3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Gates: Specs approved → Feature complete → UAT sign-off → Go/No-Go → KT signed</w:t>
            </w:r>
          </w:p>
        </w:tc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Every month</w:t>
            </w:r>
          </w:p>
        </w:tc>
        <w:tc>
          <w:tcPr>
            <w:tcW w:type="dxa" w:w="192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Product Owner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Build</w:t>
            </w:r>
          </w:p>
        </w:tc>
        <w:tc>
          <w:tcPr>
            <w:tcW w:type="dxa" w:w="3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 cycles inside each train; daily stand-up; weekly demo</w:t>
            </w:r>
          </w:p>
        </w:tc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</w:t>
            </w:r>
          </w:p>
        </w:tc>
        <w:tc>
          <w:tcPr>
            <w:tcW w:type="dxa" w:w="192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Product Owner (priority), pod (how)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(R1)</w:t>
            </w:r>
          </w:p>
        </w:tc>
        <w:tc>
          <w:tcPr>
            <w:tcW w:type="dxa" w:w="3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War-room with daily triage to 20 Oct</w:t>
            </w:r>
          </w:p>
        </w:tc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Daily</w:t>
            </w:r>
          </w:p>
        </w:tc>
        <w:tc>
          <w:tcPr>
            <w:tcW w:type="dxa" w:w="192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Lead + Product Owner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5. The AI-augmented delivery lifecycle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AI is used in every stage, and every stage has a human gate. This table is the core of the model.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5"/>
        <w:gridCol w:w="3276"/>
        <w:gridCol w:w="3084"/>
        <w:gridCol w:w="1833"/>
      </w:tblGrid>
      <w:tr>
        <w:trPr>
          <w:cantSplit/>
          <w:tblHeader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AI does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people do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Human gate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Understand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Reads the Phase 1 codebase: architecture map, ERD, API catalogue, dependency and vulnerability scan, defect clustering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Architect validates findings and judges risk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Assessment accepted at Scope Gate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Specify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Drafts stories, Given/When/Then criteria, edge cases, API contracts and test cases from the SOW and workshops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Analyst and PO challenge, refine and prioritise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PO approves spec (Definition of Ready)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Design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Explores layouts and copy within the design system; exports tokens to code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Designer leads; usability checks with users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SportSeek UI approval (2 working days)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Build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Coding agents implement from the spec and generate unit tests, following repo conventions and module boundaries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Engineers review, refactor, handle complex logic and own the merge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Human code review + CI gates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Verify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Generates API, regression and E2E tests and test data; first-pass AI code review; SAST triage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QA curates suites and runs exploratory testing; specialists run manual pen tests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Feature complete; no open critical/high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Release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Drafts release notes, runbook updates and change summaries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DevOps releases; SportSeek runs UAT and Go/No-Go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UAT sign-off; Go/No-Go</w:t>
            </w:r>
          </w:p>
        </w:tc>
      </w:tr>
      <w:tr>
        <w:trPr>
          <w:cantSplit/>
        </w:trPr>
        <w:tc>
          <w:tcPr>
            <w:tcW w:type="dxa" w:w="144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Operate &amp; hand over</w:t>
            </w:r>
          </w:p>
        </w:tc>
        <w:tc>
          <w:tcPr>
            <w:tcW w:type="dxa" w:w="32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Keeps docs current with every merge; answers questions over the codebase; triages logs and alerts</w:t>
            </w:r>
          </w:p>
        </w:tc>
        <w:tc>
          <w:tcPr>
            <w:tcW w:type="dxa" w:w="30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On-call engineers resolve; SportSeek team takes ownership</w:t>
            </w:r>
          </w:p>
        </w:tc>
        <w:tc>
          <w:tcPr>
            <w:tcW w:type="dxa" w:w="18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KT checklist signed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5.1 Human-in-the-loop rules (non-negotiable)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No AI-generated change merges without review and approval by a named engineer, who is accountable for it as if they wrote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All quality gates apply equally to AI-generated and hand-written code: tests, coverage, static analysis, security scans.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Security-sensitive areas (identity, payments, refunds, payouts, KYC data) get a second senior reviewer and a targeted manual pen test before release.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Agents work only in non-production environments with synthetic or masked data; they have no production credentials.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Generated dependencies and snippets are licence-checked; no code is accepted that the reviewing engineer cannot explain.</w:t>
      </w:r>
    </w:p>
    <w:p>
      <w:pPr>
        <w:pStyle w:val="Heading1"/>
        <w:pageBreakBefore/>
      </w:pPr>
      <w:r>
        <w:t xml:space="preserve">6. R1: the 20 October launch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R1 takes SportSeek public on a hardened, security-tested and monitored Phase 1 product with </w:t>
      </w:r>
      <w:r>
        <w:rPr>
          <w:rFonts w:ascii="Arial" w:cs="Arial" w:eastAsia="Arial" w:hAnsi="Arial"/>
          <w:b/>
          <w:bCs/>
          <w:color w:val="1A1A1A"/>
        </w:rPr>
        <w:t xml:space="preserve">F3 Shared Identity</w:t>
      </w:r>
      <w:r>
        <w:rPr>
          <w:rFonts w:ascii="Arial" w:cs="Arial" w:eastAsia="Arial" w:hAnsi="Arial"/>
          <w:color w:val="1A1A1A"/>
        </w:rPr>
        <w:t xml:space="preserve"> live on day one: one account across the User and Partner apps, OTP-verified account linking and multiple roles on one identity. Because identity touches every login, R1 adds extra identity capacity for October, an identity pen test, and a remote switch that can fall back to the Phase 1 login.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7"/>
        <w:gridCol w:w="3212"/>
        <w:gridCol w:w="2677"/>
        <w:gridCol w:w="2322"/>
      </w:tblGrid>
      <w:tr>
        <w:trPr>
          <w:cantSplit/>
          <w:tblHeader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 (IST)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Activity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Participants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09:30 daily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stand-up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pod, SportSeek PO / tech lead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board updated; blockers owned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17:00 daily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Defect and risk triage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Lead, QA, PO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Fix / defer / de-scope decisions logged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01 Oct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Scope Gate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PO &amp; sponsor; Srivin lead &amp; architect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Frozen scope incl. F3 scope and fallback; go-live criteria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02 Oct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Identity decisions (D22)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PO; Srivin architect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Linking identifiers, roles, KYC fields, user messaging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14 Oct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Code freeze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pod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candidate; store submissions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19 Oct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Go/No-Go (launch; F3 on/off)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sponsor (decides), PO, Srivin lead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Signed Go/No-Go record</w:t>
            </w:r>
          </w:p>
        </w:tc>
      </w:tr>
      <w:tr>
        <w:trPr>
          <w:cantSplit/>
        </w:trPr>
        <w:tc>
          <w:tcPr>
            <w:tcW w:type="dxa" w:w="14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20 Oct</w:t>
            </w:r>
          </w:p>
        </w:tc>
        <w:tc>
          <w:tcPr>
            <w:tcW w:type="dxa" w:w="32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and war-room</w:t>
            </w:r>
          </w:p>
        </w:tc>
        <w:tc>
          <w:tcPr>
            <w:tcW w:type="dxa" w:w="26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Pod on-call; SportSeek ops</w:t>
            </w:r>
          </w:p>
        </w:tc>
        <w:tc>
          <w:tcPr>
            <w:tcW w:type="dxa" w:w="232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Live; hourly health reports on launch day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6.1 Go-live criteria (proposed for the 1 Oct Scope Gate)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No open severity-1/2 defects in launch journeys; AI-generated regression suite green.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VAPT of the launch surface and targeted identity pen test with no open critical/high findings (SOW §6.2).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Load test passed at SportSeek's launch concurrency (D5), including login and OTP flows.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Monitoring, alerting and on-call live; rollback rehearsed; backup restore verified.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Privacy policy, terms and DPDP notice published; store listings approved or in final review.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UAT sign-off by SportSeek testers, including account-linking scenarios.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F3 is switched on only if it meets all of the above. Otherwise SportSeek launches on the Phase 1 login and F3 follows in a fast-follow.</w:t>
      </w:r>
    </w:p>
    <w:p>
      <w:pPr>
        <w:pStyle w:val="Heading1"/>
        <w:pageBreakBefore/>
      </w:pPr>
      <w:r>
        <w:t xml:space="preserve">7. The monthly release train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7"/>
        <w:gridCol w:w="4130"/>
        <w:gridCol w:w="2753"/>
        <w:gridCol w:w="1838"/>
      </w:tblGrid>
      <w:tr>
        <w:trPr>
          <w:cantSplit/>
          <w:tblHeader/>
        </w:trPr>
        <w:tc>
          <w:tcPr>
            <w:tcW w:type="dxa" w:w="9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413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Pod</w:t>
            </w:r>
          </w:p>
        </w:tc>
        <w:tc>
          <w:tcPr>
            <w:tcW w:type="dxa" w:w="27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SportSeek</w:t>
            </w:r>
          </w:p>
        </w:tc>
        <w:tc>
          <w:tcPr>
            <w:tcW w:type="dxa" w:w="18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rPr>
          <w:cantSplit/>
        </w:trPr>
        <w:tc>
          <w:tcPr>
            <w:tcW w:type="dxa" w:w="9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 1</w:t>
            </w:r>
          </w:p>
        </w:tc>
        <w:tc>
          <w:tcPr>
            <w:tcW w:type="dxa" w:w="413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 from approved specs; agents implement; daily review; next train's specs start</w:t>
            </w:r>
          </w:p>
        </w:tc>
        <w:tc>
          <w:tcPr>
            <w:tcW w:type="dxa" w:w="27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 clarifications</w:t>
            </w:r>
          </w:p>
        </w:tc>
        <w:tc>
          <w:tcPr>
            <w:tcW w:type="dxa" w:w="18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Specs approved</w:t>
            </w:r>
          </w:p>
        </w:tc>
      </w:tr>
      <w:tr>
        <w:trPr>
          <w:cantSplit/>
        </w:trPr>
        <w:tc>
          <w:tcPr>
            <w:tcW w:type="dxa" w:w="9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 2</w:t>
            </w:r>
          </w:p>
        </w:tc>
        <w:tc>
          <w:tcPr>
            <w:tcW w:type="dxa" w:w="413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Build and integrate on Staging behind flags; weekly demo</w:t>
            </w:r>
          </w:p>
        </w:tc>
        <w:tc>
          <w:tcPr>
            <w:tcW w:type="dxa" w:w="27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Demo feedback</w:t>
            </w:r>
          </w:p>
        </w:tc>
        <w:tc>
          <w:tcPr>
            <w:tcW w:type="dxa" w:w="18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 3</w:t>
            </w:r>
          </w:p>
        </w:tc>
        <w:tc>
          <w:tcPr>
            <w:tcW w:type="dxa" w:w="413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Feature complete Friday; regression, security scans, targeted pen test</w:t>
            </w:r>
          </w:p>
        </w:tc>
        <w:tc>
          <w:tcPr>
            <w:tcW w:type="dxa" w:w="27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UI approvals for next train</w:t>
            </w:r>
          </w:p>
        </w:tc>
        <w:tc>
          <w:tcPr>
            <w:tcW w:type="dxa" w:w="18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Feature complete</w:t>
            </w:r>
          </w:p>
        </w:tc>
      </w:tr>
      <w:tr>
        <w:trPr>
          <w:cantSplit/>
        </w:trPr>
        <w:tc>
          <w:tcPr>
            <w:tcW w:type="dxa" w:w="9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 4</w:t>
            </w:r>
          </w:p>
        </w:tc>
        <w:tc>
          <w:tcPr>
            <w:tcW w:type="dxa" w:w="413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Hardening; UAT support; store submission</w:t>
            </w:r>
          </w:p>
        </w:tc>
        <w:tc>
          <w:tcPr>
            <w:tcW w:type="dxa" w:w="27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UAT (3 days); Go/No-Go Monday</w:t>
            </w:r>
          </w:p>
        </w:tc>
        <w:tc>
          <w:tcPr>
            <w:tcW w:type="dxa" w:w="18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UAT; Go/No-Go</w:t>
            </w:r>
          </w:p>
        </w:tc>
      </w:tr>
      <w:tr>
        <w:trPr>
          <w:cantSplit/>
        </w:trPr>
        <w:tc>
          <w:tcPr>
            <w:tcW w:type="dxa" w:w="9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week</w:t>
            </w:r>
          </w:p>
        </w:tc>
        <w:tc>
          <w:tcPr>
            <w:tcW w:type="dxa" w:w="4130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Tuesday; one week of hypercare</w:t>
            </w:r>
          </w:p>
        </w:tc>
        <w:tc>
          <w:tcPr>
            <w:tcW w:type="dxa" w:w="27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KT checklist sign-off</w:t>
            </w:r>
          </w:p>
        </w:tc>
        <w:tc>
          <w:tcPr>
            <w:tcW w:type="dxa" w:w="18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KT signed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7.1 Ceremonies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1853"/>
        <w:gridCol w:w="1112"/>
        <w:gridCol w:w="2409"/>
        <w:gridCol w:w="2411"/>
      </w:tblGrid>
      <w:tr>
        <w:trPr>
          <w:cantSplit/>
          <w:tblHeader/>
        </w:trPr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Ceremony</w:t>
            </w:r>
          </w:p>
        </w:tc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11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Time-box</w:t>
            </w:r>
          </w:p>
        </w:tc>
        <w:tc>
          <w:tcPr>
            <w:tcW w:type="dxa" w:w="240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Participants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Train planning</w:t>
            </w:r>
          </w:p>
        </w:tc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Monday, week 1</w:t>
            </w:r>
          </w:p>
        </w:tc>
        <w:tc>
          <w:tcPr>
            <w:tcW w:type="dxa" w:w="11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1.5 h</w:t>
            </w:r>
          </w:p>
        </w:tc>
        <w:tc>
          <w:tcPr>
            <w:tcW w:type="dxa" w:w="240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Pod, PO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Train goal: the release's features, with acceptance criteria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Daily stand-up</w:t>
            </w:r>
          </w:p>
        </w:tc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Daily 09:30</w:t>
            </w:r>
          </w:p>
        </w:tc>
        <w:tc>
          <w:tcPr>
            <w:tcW w:type="dxa" w:w="11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15 min</w:t>
            </w:r>
          </w:p>
        </w:tc>
        <w:tc>
          <w:tcPr>
            <w:tcW w:type="dxa" w:w="240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Pod incl. SportSeek developers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Blockers raised and owned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 demo</w:t>
            </w:r>
          </w:p>
        </w:tc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Every Friday</w:t>
            </w:r>
          </w:p>
        </w:tc>
        <w:tc>
          <w:tcPr>
            <w:tcW w:type="dxa" w:w="11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45 min</w:t>
            </w:r>
          </w:p>
        </w:tc>
        <w:tc>
          <w:tcPr>
            <w:tcW w:type="dxa" w:w="240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Pod, PO, SportSeek stakeholders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Working software shown; feedback into backlog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Spec &amp; design review</w:t>
            </w:r>
          </w:p>
        </w:tc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 (Thu)</w:t>
            </w:r>
          </w:p>
        </w:tc>
        <w:tc>
          <w:tcPr>
            <w:tcW w:type="dxa" w:w="11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 h</w:t>
            </w:r>
          </w:p>
        </w:tc>
        <w:tc>
          <w:tcPr>
            <w:tcW w:type="dxa" w:w="240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Analyst, designer, architect, PO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Next train's specs and UI approved</w:t>
            </w:r>
          </w:p>
        </w:tc>
      </w:tr>
      <w:tr>
        <w:trPr>
          <w:cantSplit/>
        </w:trPr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review / retro</w:t>
            </w:r>
          </w:p>
        </w:tc>
        <w:tc>
          <w:tcPr>
            <w:tcW w:type="dxa" w:w="185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After each release</w:t>
            </w:r>
          </w:p>
        </w:tc>
        <w:tc>
          <w:tcPr>
            <w:tcW w:type="dxa" w:w="111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 h</w:t>
            </w:r>
          </w:p>
        </w:tc>
        <w:tc>
          <w:tcPr>
            <w:tcW w:type="dxa" w:w="240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Pod, PO, sponsor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Metrics, lessons, AI-playbook improvements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7.2 Definition of Ready and Done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/>
          <w:tblHeader/>
        </w:trPr>
        <w:tc>
          <w:tcPr>
            <w:tcW w:type="dxa" w:w="134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</w:p>
        </w:tc>
        <w:tc>
          <w:tcPr>
            <w:tcW w:type="dxa" w:w="828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Ready</w:t>
            </w:r>
          </w:p>
        </w:tc>
        <w:tc>
          <w:tcPr>
            <w:tcW w:type="dxa" w:w="828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Spec approved: story, acceptance criteria, API contract, data changes, UI approved, dependencies cleared, test data known.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</w:rPr>
              <w:t xml:space="preserve">If it is not ready, the agents do not start.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Done (feature)</w:t>
            </w:r>
          </w:p>
        </w:tc>
        <w:tc>
          <w:tcPr>
            <w:tcW w:type="dxa" w:w="828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Merged after human review; unit/API/E2E tests green; coverage and security gates passed; docs and API collection updated automatically and checked; behind a feature flag; demoed and accepted by PO.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Done (release)</w:t>
            </w:r>
          </w:p>
        </w:tc>
        <w:tc>
          <w:tcPr>
            <w:tcW w:type="dxa" w:w="828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Full regression green; targeted pen test where applicable; UAT signed; release notes and runbook updated; deployed via the pipeline into SportSeek infrastructure (SOW §14).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8. The AI-native pod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One cross-functional pod of about 10–11 people (about 14 in launch month, with extra identity capacity), all senior enough to judge AI output. Total planned effort is 69.5 person-months, against 154 in our conventional estimate for the same scope. Roles, skills and monthly loading are in the WBS &amp; Integrated Project Plan, Section 14.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cantSplit/>
          <w:tblHeader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Accountability in the AI-native model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Delivery Lead / TPM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Runs the release train; owns plan, RAID, dependencies, decisions log and AI governance; single point of accountability.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Solution Architect &amp; AI Engineering Lead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Architecture and ADRs; owns the AI engineering playbook (spec templates, context and prompt standards, agent guardrails, review rules); second reviewer on security-sensitive code.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Product Analyst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Turns SOW and workshops into approved specs with AI assistance; UAT scenarios; traceability.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Product Designer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Design system and feature UI; usability checks; design tokens shared by mobile and web.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Senior .NET / .NET &amp; PostgreSQL Engineers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Direct coding agents from specs; review, harden and own back-end and database changes; migrations and reconciliation.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Senior React Native / React Engineers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Direct agents on mobile and web; own device testing, performance, accessibility and store releases.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QA Automation Engineer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Curates AI-generated test suites; owns quality gates; exploratory testing; UAT support.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DevOps / SRE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Pipelines, environments, observability, releases, on-call.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Security &amp; Performance Engineers (on demand)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Targeted pen tests (R1 identity, R3 refunds, R6 payouts) and full VAPT (R6); load tests (R1, R5, R6).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t xml:space="preserve">8.1 SportSeek inside the pod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2 SportSeek developers recommended</w:t>
      </w:r>
      <w:r>
        <w:rPr>
          <w:rFonts w:ascii="Arial" w:cs="Arial" w:eastAsia="Arial" w:hAnsi="Arial"/>
          <w:color w:val="1A1A1A"/>
        </w:rPr>
        <w:t xml:space="preserve"> (D9) join from R2 as full pod members, working with the same AI tooling. They learn the AI-native way of working as well as the code.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Product Owner</w:t>
      </w:r>
      <w:r>
        <w:rPr>
          <w:rFonts w:ascii="Arial" w:cs="Arial" w:eastAsia="Arial" w:hAnsi="Arial"/>
          <w:color w:val="1A1A1A"/>
        </w:rPr>
        <w:t xml:space="preserve"> approves specs and accepts features weekly; </w:t>
      </w:r>
      <w:r>
        <w:rPr>
          <w:rFonts w:ascii="Arial" w:cs="Arial" w:eastAsia="Arial" w:hAnsi="Arial"/>
          <w:b/>
          <w:bCs/>
          <w:color w:val="1A1A1A"/>
        </w:rPr>
        <w:t xml:space="preserve">UAT testers</w:t>
      </w:r>
      <w:r>
        <w:rPr>
          <w:rFonts w:ascii="Arial" w:cs="Arial" w:eastAsia="Arial" w:hAnsi="Arial"/>
          <w:color w:val="1A1A1A"/>
        </w:rPr>
        <w:t xml:space="preserve"> test in the hardening week of each release.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By R6, SportSeek engineers have built and shipped parts of every module and can run the train themselves or scale it into Phase 2B.</w:t>
      </w:r>
    </w:p>
    <w:p>
      <w:pPr>
        <w:pStyle w:val="Heading1"/>
        <w:pageBreakBefore/>
      </w:pPr>
      <w:r>
        <w:t xml:space="preserve">9. RACI matrix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R = Responsible, A = Accountable, C = Consulted, I = Informed. Aligned with SOW §15.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6"/>
        <w:gridCol w:w="993"/>
        <w:gridCol w:w="1092"/>
        <w:gridCol w:w="993"/>
        <w:gridCol w:w="993"/>
        <w:gridCol w:w="993"/>
        <w:gridCol w:w="998"/>
      </w:tblGrid>
      <w:tr>
        <w:trPr>
          <w:cantSplit/>
          <w:tblHeader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Activity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SportSeek PO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SportSeek Tech / Ops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SportSeek UAT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Srivin Delivery Lead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Srivin Architect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Srivin Pod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Product priorities &amp; release scope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A/R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Feature specs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(approve)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UI/UX design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(approve)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HLD / ADRs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(approve)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AI usage policy &amp; tooling approval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Development incl. AI-generated code &amp; review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 (review)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Testing (functional, regression, security)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UAT execution &amp; sign-off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Go/No-Go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 (prepare)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Third-party contracts &amp; approvals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A/R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Infrastructure operation (until handover)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KT checklist per release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 (receive)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357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Change requests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A (approve)</w:t>
            </w:r>
          </w:p>
        </w:tc>
        <w:tc>
          <w:tcPr>
            <w:tcW w:type="dxa" w:w="109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R (assess)</w:t>
            </w:r>
          </w:p>
        </w:tc>
        <w:tc>
          <w:tcPr>
            <w:tcW w:type="dxa" w:w="9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</w:t>
            </w:r>
          </w:p>
        </w:tc>
        <w:tc>
          <w:tcPr>
            <w:tcW w:type="dxa" w:w="99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I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10. Governance, escalation and decisions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8"/>
        <w:gridCol w:w="1482"/>
        <w:gridCol w:w="2594"/>
        <w:gridCol w:w="3524"/>
      </w:tblGrid>
      <w:tr>
        <w:trPr>
          <w:cantSplit/>
          <w:tblHeader/>
        </w:trPr>
        <w:tc>
          <w:tcPr>
            <w:tcW w:type="dxa" w:w="20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Forum</w:t>
            </w:r>
          </w:p>
        </w:tc>
        <w:tc>
          <w:tcPr>
            <w:tcW w:type="dxa" w:w="148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Frequency</w:t>
            </w:r>
          </w:p>
        </w:tc>
        <w:tc>
          <w:tcPr>
            <w:tcW w:type="dxa" w:w="259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Attendees</w:t>
            </w:r>
          </w:p>
        </w:tc>
        <w:tc>
          <w:tcPr>
            <w:tcW w:type="dxa" w:w="352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20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review (acts as steering)</w:t>
            </w:r>
          </w:p>
        </w:tc>
        <w:tc>
          <w:tcPr>
            <w:tcW w:type="dxa" w:w="148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Monthly, after each release</w:t>
            </w:r>
          </w:p>
        </w:tc>
        <w:tc>
          <w:tcPr>
            <w:tcW w:type="dxa" w:w="259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Sponsor, PO; Srivin Engagement Director, Delivery Lead</w:t>
            </w:r>
          </w:p>
        </w:tc>
        <w:tc>
          <w:tcPr>
            <w:tcW w:type="dxa" w:w="352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outcome, next train scope, metrics, top risks, change requests</w:t>
            </w:r>
          </w:p>
        </w:tc>
      </w:tr>
      <w:tr>
        <w:trPr>
          <w:cantSplit/>
        </w:trPr>
        <w:tc>
          <w:tcPr>
            <w:tcW w:type="dxa" w:w="20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 demo &amp; status</w:t>
            </w:r>
          </w:p>
        </w:tc>
        <w:tc>
          <w:tcPr>
            <w:tcW w:type="dxa" w:w="148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Every Friday</w:t>
            </w:r>
          </w:p>
        </w:tc>
        <w:tc>
          <w:tcPr>
            <w:tcW w:type="dxa" w:w="259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PO, SportSeek tech, pod</w:t>
            </w:r>
          </w:p>
        </w:tc>
        <w:tc>
          <w:tcPr>
            <w:tcW w:type="dxa" w:w="352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Working software; train on-track status; decisions log; dependency register</w:t>
            </w:r>
          </w:p>
        </w:tc>
      </w:tr>
      <w:tr>
        <w:trPr>
          <w:cantSplit/>
        </w:trPr>
        <w:tc>
          <w:tcPr>
            <w:tcW w:type="dxa" w:w="20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Design authority</w:t>
            </w:r>
          </w:p>
        </w:tc>
        <w:tc>
          <w:tcPr>
            <w:tcW w:type="dxa" w:w="148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Fortnightly / on demand</w:t>
            </w:r>
          </w:p>
        </w:tc>
        <w:tc>
          <w:tcPr>
            <w:tcW w:type="dxa" w:w="259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Architect, SportSeek tech reviewer</w:t>
            </w:r>
          </w:p>
        </w:tc>
        <w:tc>
          <w:tcPr>
            <w:tcW w:type="dxa" w:w="352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ADRs and technical decisions</w:t>
            </w:r>
          </w:p>
        </w:tc>
      </w:tr>
      <w:tr>
        <w:trPr>
          <w:cantSplit/>
        </w:trPr>
        <w:tc>
          <w:tcPr>
            <w:tcW w:type="dxa" w:w="203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war-room</w:t>
            </w:r>
          </w:p>
        </w:tc>
        <w:tc>
          <w:tcPr>
            <w:tcW w:type="dxa" w:w="148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Daily to 6 Nov 2026</w:t>
            </w:r>
          </w:p>
        </w:tc>
        <w:tc>
          <w:tcPr>
            <w:tcW w:type="dxa" w:w="259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pod, PO</w:t>
            </w:r>
          </w:p>
        </w:tc>
        <w:tc>
          <w:tcPr>
            <w:tcW w:type="dxa" w:w="352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Section 6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2891"/>
        <w:gridCol w:w="3373"/>
        <w:gridCol w:w="2411"/>
      </w:tblGrid>
      <w:tr>
        <w:trPr>
          <w:cantSplit/>
          <w:tblHeader/>
        </w:trPr>
        <w:tc>
          <w:tcPr>
            <w:tcW w:type="dxa" w:w="96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Escalated to</w:t>
            </w:r>
          </w:p>
        </w:tc>
        <w:tc>
          <w:tcPr>
            <w:tcW w:type="dxa" w:w="337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Response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L1</w:t>
            </w:r>
          </w:p>
        </w:tc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Engineer ↔ PO</w:t>
            </w:r>
          </w:p>
        </w:tc>
        <w:tc>
          <w:tcPr>
            <w:tcW w:type="dxa" w:w="337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Clarification or blocker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Same working day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L2</w:t>
            </w:r>
          </w:p>
        </w:tc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Delivery Lead ↔ PO / tech lead</w:t>
            </w:r>
          </w:p>
        </w:tc>
        <w:tc>
          <w:tcPr>
            <w:tcW w:type="dxa" w:w="337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Decision or dependency at risk of missing need-by date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 working day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L3</w:t>
            </w:r>
          </w:p>
        </w:tc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Engagement Director ↔ Sponsor</w:t>
            </w:r>
          </w:p>
        </w:tc>
        <w:tc>
          <w:tcPr>
            <w:tcW w:type="dxa" w:w="337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 feature at risk of missing two trains; commercial issue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 working days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</w:t>
            </w:r>
          </w:p>
        </w:tc>
        <w:tc>
          <w:tcPr>
            <w:tcW w:type="dxa" w:w="289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Launch Lead → Delivery Lead → Sponsor</w:t>
            </w:r>
          </w:p>
        </w:tc>
        <w:tc>
          <w:tcPr>
            <w:tcW w:type="dxa" w:w="337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Any risk to 20 Oct or go-live criteria</w:t>
            </w:r>
          </w:p>
        </w:tc>
        <w:tc>
          <w:tcPr>
            <w:tcW w:type="dxa" w:w="24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business hours</w:t>
            </w:r>
          </w:p>
        </w:tc>
      </w:tr>
    </w:tbl>
    <w:p>
      <w:pPr>
        <w:spacing w:after="140"/>
      </w:pP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Every SportSeek decision is logged with options, Srivin's recommendation and a need-by date derived from the train. A decision missing its date moves the affected feature, not the release.</w:t>
      </w:r>
    </w:p>
    <w:p>
      <w:pPr>
        <w:pStyle w:val="Heading1"/>
        <w:pageBreakBefore/>
      </w:pPr>
      <w:r>
        <w:t xml:space="preserve">11. Communication plan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2855"/>
        <w:gridCol w:w="1784"/>
        <w:gridCol w:w="1668"/>
      </w:tblGrid>
      <w:tr>
        <w:trPr>
          <w:cantSplit/>
          <w:tblHeader/>
        </w:trPr>
        <w:tc>
          <w:tcPr>
            <w:tcW w:type="dxa" w:w="333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Communication</w:t>
            </w:r>
          </w:p>
        </w:tc>
        <w:tc>
          <w:tcPr>
            <w:tcW w:type="dxa" w:w="2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17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Frequency</w:t>
            </w:r>
          </w:p>
        </w:tc>
        <w:tc>
          <w:tcPr>
            <w:tcW w:type="dxa" w:w="166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rPr>
          <w:cantSplit/>
        </w:trPr>
        <w:tc>
          <w:tcPr>
            <w:tcW w:type="dxa" w:w="333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 status (train progress, decisions, dependencies, RAID) — AI-drafted from tool data, reviewed by the Delivery Lead</w:t>
            </w:r>
          </w:p>
        </w:tc>
        <w:tc>
          <w:tcPr>
            <w:tcW w:type="dxa" w:w="2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PO, sponsor</w:t>
            </w:r>
          </w:p>
        </w:tc>
        <w:tc>
          <w:tcPr>
            <w:tcW w:type="dxa" w:w="17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 (Fri)</w:t>
            </w:r>
          </w:p>
        </w:tc>
        <w:tc>
          <w:tcPr>
            <w:tcW w:type="dxa" w:w="166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Delivery Lead</w:t>
            </w:r>
          </w:p>
        </w:tc>
      </w:tr>
      <w:tr>
        <w:trPr>
          <w:cantSplit/>
        </w:trPr>
        <w:tc>
          <w:tcPr>
            <w:tcW w:type="dxa" w:w="333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 demo of working software</w:t>
            </w:r>
          </w:p>
        </w:tc>
        <w:tc>
          <w:tcPr>
            <w:tcW w:type="dxa" w:w="2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stakeholders</w:t>
            </w:r>
          </w:p>
        </w:tc>
        <w:tc>
          <w:tcPr>
            <w:tcW w:type="dxa" w:w="17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Weekly</w:t>
            </w:r>
          </w:p>
        </w:tc>
        <w:tc>
          <w:tcPr>
            <w:tcW w:type="dxa" w:w="166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Pod</w:t>
            </w:r>
          </w:p>
        </w:tc>
      </w:tr>
      <w:tr>
        <w:trPr>
          <w:cantSplit/>
        </w:trPr>
        <w:tc>
          <w:tcPr>
            <w:tcW w:type="dxa" w:w="333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notes (business and technical)</w:t>
            </w:r>
          </w:p>
        </w:tc>
        <w:tc>
          <w:tcPr>
            <w:tcW w:type="dxa" w:w="2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business, support, ops</w:t>
            </w:r>
          </w:p>
        </w:tc>
        <w:tc>
          <w:tcPr>
            <w:tcW w:type="dxa" w:w="17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Monthly</w:t>
            </w:r>
          </w:p>
        </w:tc>
        <w:tc>
          <w:tcPr>
            <w:tcW w:type="dxa" w:w="166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QA / Delivery Lead</w:t>
            </w:r>
          </w:p>
        </w:tc>
      </w:tr>
      <w:tr>
        <w:trPr>
          <w:cantSplit/>
        </w:trPr>
        <w:tc>
          <w:tcPr>
            <w:tcW w:type="dxa" w:w="333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 review pack with delivery and AI metrics</w:t>
            </w:r>
          </w:p>
        </w:tc>
        <w:tc>
          <w:tcPr>
            <w:tcW w:type="dxa" w:w="2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Sponsor, PO</w:t>
            </w:r>
          </w:p>
        </w:tc>
        <w:tc>
          <w:tcPr>
            <w:tcW w:type="dxa" w:w="17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Monthly</w:t>
            </w:r>
          </w:p>
        </w:tc>
        <w:tc>
          <w:tcPr>
            <w:tcW w:type="dxa" w:w="166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Delivery Lead</w:t>
            </w:r>
          </w:p>
        </w:tc>
      </w:tr>
      <w:tr>
        <w:trPr>
          <w:cantSplit/>
        </w:trPr>
        <w:tc>
          <w:tcPr>
            <w:tcW w:type="dxa" w:w="333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Incident communication</w:t>
            </w:r>
          </w:p>
        </w:tc>
        <w:tc>
          <w:tcPr>
            <w:tcW w:type="dxa" w:w="285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ops, PO, sponsor (S1)</w:t>
            </w:r>
          </w:p>
        </w:tc>
        <w:tc>
          <w:tcPr>
            <w:tcW w:type="dxa" w:w="178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As needed</w:t>
            </w:r>
          </w:p>
        </w:tc>
        <w:tc>
          <w:tcPr>
            <w:tcW w:type="dxa" w:w="166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On-call lead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12. Quality management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469"/>
        <w:gridCol w:w="2505"/>
        <w:gridCol w:w="1737"/>
      </w:tblGrid>
      <w:tr>
        <w:trPr>
          <w:cantSplit/>
          <w:tblHeader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346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Scope</w:t>
            </w:r>
          </w:p>
        </w:tc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How AI helps</w:t>
            </w:r>
          </w:p>
        </w:tc>
        <w:tc>
          <w:tcPr>
            <w:tcW w:type="dxa" w:w="173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Unit</w:t>
            </w:r>
          </w:p>
        </w:tc>
        <w:tc>
          <w:tcPr>
            <w:tcW w:type="dxa" w:w="346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Domain logic and edge cases</w:t>
            </w:r>
          </w:p>
        </w:tc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Generated with code from the spec; reviewed</w:t>
            </w:r>
          </w:p>
        </w:tc>
        <w:tc>
          <w:tcPr>
            <w:tcW w:type="dxa" w:w="173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Every commit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API / integration</w:t>
            </w:r>
          </w:p>
        </w:tc>
        <w:tc>
          <w:tcPr>
            <w:tcW w:type="dxa" w:w="346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Endpoints, DB (Testcontainers), adapters</w:t>
            </w:r>
          </w:p>
        </w:tc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Generated from OpenAPI contracts</w:t>
            </w:r>
          </w:p>
        </w:tc>
        <w:tc>
          <w:tcPr>
            <w:tcW w:type="dxa" w:w="173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Every merge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Regression</w:t>
            </w:r>
          </w:p>
        </w:tc>
        <w:tc>
          <w:tcPr>
            <w:tcW w:type="dxa" w:w="346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All live journeys, mobile and web</w:t>
            </w:r>
          </w:p>
        </w:tc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Suite generated from journey inventory; grows each release</w:t>
            </w:r>
          </w:p>
        </w:tc>
        <w:tc>
          <w:tcPr>
            <w:tcW w:type="dxa" w:w="173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Nightly + pre-release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Security</w:t>
            </w:r>
          </w:p>
        </w:tc>
        <w:tc>
          <w:tcPr>
            <w:tcW w:type="dxa" w:w="346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SAST/SCA/secrets in CI; DAST; manual pen tests</w:t>
            </w:r>
          </w:p>
        </w:tc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AI triage of scanner findings</w:t>
            </w:r>
          </w:p>
        </w:tc>
        <w:tc>
          <w:tcPr>
            <w:tcW w:type="dxa" w:w="173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CI + R1 (incl. identity), R3, R6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346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Load at SportSeek targets (D20)</w:t>
            </w:r>
          </w:p>
        </w:tc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Scripts generated from API catalogue</w:t>
            </w:r>
          </w:p>
        </w:tc>
        <w:tc>
          <w:tcPr>
            <w:tcW w:type="dxa" w:w="173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R1, R5, R6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UAT</w:t>
            </w:r>
          </w:p>
        </w:tc>
        <w:tc>
          <w:tcPr>
            <w:tcW w:type="dxa" w:w="3469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Business scenarios</w:t>
            </w:r>
          </w:p>
        </w:tc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Scenario scripts drafted from specs</w:t>
            </w:r>
          </w:p>
        </w:tc>
        <w:tc>
          <w:tcPr>
            <w:tcW w:type="dxa" w:w="173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Hardening week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5011"/>
        <w:gridCol w:w="3375"/>
      </w:tblGrid>
      <w:tr>
        <w:trPr>
          <w:cantSplit/>
          <w:tblHeader/>
        </w:trPr>
        <w:tc>
          <w:tcPr>
            <w:tcW w:type="dxa" w:w="125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50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  <w:tc>
          <w:tcPr>
            <w:tcW w:type="dxa" w:w="337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S1 Critical</w:t>
            </w:r>
          </w:p>
        </w:tc>
        <w:tc>
          <w:tcPr>
            <w:tcW w:type="dxa" w:w="50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Production down, data loss, security breach, or payments failing broadly</w:t>
            </w:r>
          </w:p>
        </w:tc>
        <w:tc>
          <w:tcPr>
            <w:tcW w:type="dxa" w:w="337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Payments not captured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S2 High</w:t>
            </w:r>
          </w:p>
        </w:tc>
        <w:tc>
          <w:tcPr>
            <w:tcW w:type="dxa" w:w="50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Core journey broken for some users, or a wrong financial or identity outcome</w:t>
            </w:r>
          </w:p>
        </w:tc>
        <w:tc>
          <w:tcPr>
            <w:tcW w:type="dxa" w:w="337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Duplicate identity on linking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S3 Medium</w:t>
            </w:r>
          </w:p>
        </w:tc>
        <w:tc>
          <w:tcPr>
            <w:tcW w:type="dxa" w:w="50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Feature misbehaves with a workaround</w:t>
            </w:r>
          </w:p>
        </w:tc>
        <w:tc>
          <w:tcPr>
            <w:tcW w:type="dxa" w:w="337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 ledger filter ignores one status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S4 Low</w:t>
            </w:r>
          </w:p>
        </w:tc>
        <w:tc>
          <w:tcPr>
            <w:tcW w:type="dxa" w:w="5011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Cosmetic</w:t>
            </w:r>
          </w:p>
        </w:tc>
        <w:tc>
          <w:tcPr>
            <w:tcW w:type="dxa" w:w="337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Alignment or copy issues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13. Environments, releases and feature flags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Dev / Staging / Production</w:t>
      </w:r>
      <w:r>
        <w:rPr>
          <w:rFonts w:ascii="Arial" w:cs="Arial" w:eastAsia="Arial" w:hAnsi="Arial"/>
          <w:color w:val="1A1A1A"/>
        </w:rPr>
        <w:t xml:space="preserve"> in SportSeek accounts. Agents and engineers work in Dev; Staging holds synthetic or masked data only; Production changes go only through the pipeline.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Continuous delivery behind flags</w:t>
      </w:r>
      <w:r>
        <w:rPr>
          <w:rFonts w:ascii="Arial" w:cs="Arial" w:eastAsia="Arial" w:hAnsi="Arial"/>
          <w:color w:val="1A1A1A"/>
        </w:rPr>
        <w:t xml:space="preserve">: back-end changes deploy when ready and stay dark until the release; mobile ships on the monthly train via store submission in week 4.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Rollback</w:t>
      </w:r>
      <w:r>
        <w:rPr>
          <w:rFonts w:ascii="Arial" w:cs="Arial" w:eastAsia="Arial" w:hAnsi="Arial"/>
          <w:color w:val="1A1A1A"/>
        </w:rPr>
        <w:t xml:space="preserve">: expand/contract database migrations and flag kill-switches make every release reversible.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Minimum-version enforcement</w:t>
      </w:r>
      <w:r>
        <w:rPr>
          <w:rFonts w:ascii="Arial" w:cs="Arial" w:eastAsia="Arial" w:hAnsi="Arial"/>
          <w:color w:val="1A1A1A"/>
        </w:rPr>
        <w:t xml:space="preserve"> on the apps, so API changes (e.g. identity in R1) never strand old clients.</w:t>
      </w:r>
    </w:p>
    <w:p>
      <w:pPr>
        <w:pStyle w:val="Heading1"/>
        <w:pageBreakBefore/>
      </w:pPr>
      <w:r>
        <w:t xml:space="preserve">14. AI governance: security, confidentiality and IP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cantSplit/>
          <w:tblHeader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How it works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Approved tooling only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AI tools are used only under enterprise/business terms that exclude training on customer code and data, and only after SportSeek approves them (D21). The tool list is part of the governance charter.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Data handling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No production personal, KYC or transaction data in prompts, agent contexts or non-production environments. Secrets are never placed in prompts; secret scanning runs in CI.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Least privilege for agents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Agents run in development workspaces with repository access only. They have no production credentials and cannot deploy; deployment is a pipeline action approved by a person.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Human accountability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Every merge has a named human reviewer. Security-sensitive changes have two.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IP and licensing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All outputs, including code, tests, specs, prompts and documentation, belong to SportSeek on payment (SOW §19). Dependencies are licence-scanned; the reviewing engineer confirms generated code contains no copied third-party material.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Audit trail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Pull requests record AI assistance, reviewers and checks. AI usage metrics are reported monthly.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DPDP</w:t>
            </w:r>
          </w:p>
        </w:tc>
        <w:tc>
          <w:tcPr>
            <w:tcW w:type="dxa" w:w="71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AI governance sits inside the same DPDP-aligned data controls as the rest of the engagement.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15. Knowledge transfer and transition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Continuous KT</w:t>
      </w:r>
      <w:r>
        <w:rPr>
          <w:rFonts w:ascii="Arial" w:cs="Arial" w:eastAsia="Arial" w:hAnsi="Arial"/>
          <w:color w:val="1A1A1A"/>
        </w:rPr>
        <w:t xml:space="preserve">: SportSeek developers build inside the pod from R2, and specs, ADRs, API docs and runbooks are generated and kept current with every merge. There is no end-of-milestone documentation cliff.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Per-release KT checklist</w:t>
      </w:r>
      <w:r>
        <w:rPr>
          <w:rFonts w:ascii="Arial" w:cs="Arial" w:eastAsia="Arial" w:hAnsi="Arial"/>
          <w:color w:val="1A1A1A"/>
        </w:rPr>
        <w:t xml:space="preserve"> (SOW §12.2) signed within 5 working days of each go-live, covering walkthrough, docs, runbook, and a change made by a SportSeek engineer.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Codebase assistant for SportSeek</w:t>
      </w:r>
      <w:r>
        <w:rPr>
          <w:rFonts w:ascii="Arial" w:cs="Arial" w:eastAsia="Arial" w:hAnsi="Arial"/>
          <w:color w:val="1A1A1A"/>
        </w:rPr>
        <w:t xml:space="preserve">: we set up an AI assistant configured on SportSeek's own repositories and documentation, within SportSeek's approved tooling. SportSeek's team can keep asking "how does X work?" long after handover.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Infrastructure</w:t>
      </w:r>
      <w:r>
        <w:rPr>
          <w:rFonts w:ascii="Arial" w:cs="Arial" w:eastAsia="Arial" w:hAnsi="Arial"/>
          <w:color w:val="1A1A1A"/>
        </w:rPr>
        <w:t xml:space="preserve">: operate → co-operate (from R3) → handover, with the operations runbook delivered in R6 (SOW §15.1).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We are proposing continuous KT instead of a 2-week-to-1-month KT window after each milestone (SOW §12.2). The checklist sign-off the SOW requires is retained.</w:t>
      </w:r>
    </w:p>
    <w:p>
      <w:pPr>
        <w:pStyle w:val="Heading1"/>
        <w:pageBreakBefore/>
      </w:pPr>
      <w:r>
        <w:t xml:space="preserve">16. Change management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SOW §18 applies: a written request, then a Srivin impact assessment within 5 business days, then SportSeek's decision, then an updated baseline. The release train makes change cheaper. New scope is slotted into a future train, and swapping features of similar size between trains is a PO decision recorded in the decision log, with no change request needed.</w:t>
      </w:r>
    </w:p>
    <w:p>
      <w:pPr>
        <w:pStyle w:val="Heading1"/>
        <w:pageBreakBefore/>
      </w:pPr>
      <w:r>
        <w:t xml:space="preserve">17. Risk management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7"/>
        <w:gridCol w:w="3244"/>
        <w:gridCol w:w="858"/>
        <w:gridCol w:w="4103"/>
        <w:gridCol w:w="956"/>
      </w:tblGrid>
      <w:tr>
        <w:trPr>
          <w:cantSplit/>
          <w:tblHeader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 / I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Mitigation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R1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AI tooling not approved by SportSeek on day one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L-M / H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Enterprise-terms tools; written AI policy at kick-off; fallback plan at conventional pace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Delivery Lead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R2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Launch blockers found late in Phase 1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M / H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AI-assisted assessment in 3 days; Scope Gate; hardening prioritised over F3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Delivery Lead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R2a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F3 Shared Identity not ready or not clean by 19 Oct (7 working days of build)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H / H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Tight F3 scope; identity decisions by 2 Oct; +2 engineers in October; identity pen test; remote switch with fallback to Phase 1 login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Architect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R3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SportSeek decision/approval pace lags the monthly train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M / H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1-day decision and 2-day UI approval agreement; weekly decision log; affected feature moves, not the release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SportSeek PO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R4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Quality or security issues in AI-generated code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L-M / H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Human review, dual review on sensitive code, full gates, targeted pen tests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Architect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R5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Over-reliance on AI erodes team understanding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L / M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Engineers must explain every merge; SportSeek developers in the pod; living docs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Architect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R6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Third-party approvals (Route, DLT, WhatsApp)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M / M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Need-by dates months ahead; those features in the last train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SportSeek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R7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Duplicate identities in existing data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M / M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Early duplicate report; approved merge rules; rehearsed migration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Architect</w:t>
            </w:r>
          </w:p>
        </w:tc>
      </w:tr>
      <w:tr>
        <w:trPr>
          <w:cantSplit/>
        </w:trPr>
        <w:tc>
          <w:tcPr>
            <w:tcW w:type="dxa" w:w="47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R8</w:t>
            </w:r>
          </w:p>
        </w:tc>
        <w:tc>
          <w:tcPr>
            <w:tcW w:type="dxa" w:w="3244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App-store review delays a mobile release</w:t>
            </w:r>
          </w:p>
        </w:tc>
        <w:tc>
          <w:tcPr>
            <w:tcW w:type="dxa" w:w="85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L-M / M</w:t>
            </w:r>
          </w:p>
        </w:tc>
        <w:tc>
          <w:tcPr>
            <w:tcW w:type="dxa" w:w="410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Submission in week 4; web and back end unaffected; features stay behind flags</w:t>
            </w:r>
          </w:p>
        </w:tc>
        <w:tc>
          <w:tcPr>
            <w:tcW w:type="dxa" w:w="956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Delivery Lead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18. Hypercare, warranty and support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Hypercare</w:t>
      </w:r>
      <w:r>
        <w:rPr>
          <w:rFonts w:ascii="Arial" w:cs="Arial" w:eastAsia="Arial" w:hAnsi="Arial"/>
          <w:color w:val="1A1A1A"/>
        </w:rPr>
        <w:t xml:space="preserve">: 20 Oct – 6 Nov 2026 for the launch; one week after every later release; 23 Mar – 2 Apr 2027 for R6.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Warranty</w:t>
      </w:r>
      <w:r>
        <w:rPr>
          <w:rFonts w:ascii="Arial" w:cs="Arial" w:eastAsia="Arial" w:hAnsi="Arial"/>
          <w:color w:val="1A1A1A"/>
        </w:rPr>
        <w:t xml:space="preserve">: 90 days per release at no additional cost (SOW §16). </w:t>
      </w:r>
      <w:r>
        <w:rPr>
          <w:rFonts w:ascii="Arial" w:cs="Arial" w:eastAsia="Arial" w:hAnsi="Arial"/>
          <w:b/>
          <w:bCs/>
          <w:color w:val="1A1A1A"/>
        </w:rPr>
        <w:t xml:space="preserve">Phase 1 support</w:t>
      </w:r>
      <w:r>
        <w:rPr>
          <w:rFonts w:ascii="Arial" w:cs="Arial" w:eastAsia="Arial" w:hAnsi="Arial"/>
          <w:color w:val="1A1A1A"/>
        </w:rPr>
        <w:t xml:space="preserve"> included (SOW §16).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AI-assisted operations</w:t>
      </w:r>
      <w:r>
        <w:rPr>
          <w:rFonts w:ascii="Arial" w:cs="Arial" w:eastAsia="Arial" w:hAnsi="Arial"/>
          <w:color w:val="1A1A1A"/>
        </w:rPr>
        <w:t xml:space="preserve">: log and alert triage speeds up diagnosis; fixes follow the same review and release gates.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2017"/>
        <w:gridCol w:w="2913"/>
        <w:gridCol w:w="2915"/>
      </w:tblGrid>
      <w:tr>
        <w:trPr>
          <w:cantSplit/>
          <w:tblHeader/>
        </w:trPr>
        <w:tc>
          <w:tcPr>
            <w:tcW w:type="dxa" w:w="17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20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Acknowledge</w:t>
            </w:r>
          </w:p>
        </w:tc>
        <w:tc>
          <w:tcPr>
            <w:tcW w:type="dxa" w:w="29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Workaround / restore</w:t>
            </w:r>
          </w:p>
        </w:tc>
        <w:tc>
          <w:tcPr>
            <w:tcW w:type="dxa" w:w="291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Permanent fix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S1 Critical</w:t>
            </w:r>
          </w:p>
        </w:tc>
        <w:tc>
          <w:tcPr>
            <w:tcW w:type="dxa" w:w="20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 min (24×7 in hypercare)</w:t>
            </w:r>
          </w:p>
        </w:tc>
        <w:tc>
          <w:tcPr>
            <w:tcW w:type="dxa" w:w="29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hours</w:t>
            </w:r>
          </w:p>
        </w:tc>
        <w:tc>
          <w:tcPr>
            <w:tcW w:type="dxa" w:w="291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Next hotfix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S2 High</w:t>
            </w:r>
          </w:p>
        </w:tc>
        <w:tc>
          <w:tcPr>
            <w:tcW w:type="dxa" w:w="20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 business hours</w:t>
            </w:r>
          </w:p>
        </w:tc>
        <w:tc>
          <w:tcPr>
            <w:tcW w:type="dxa" w:w="29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 business day</w:t>
            </w:r>
          </w:p>
        </w:tc>
        <w:tc>
          <w:tcPr>
            <w:tcW w:type="dxa" w:w="291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Next release or hotfix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S3 Medium</w:t>
            </w:r>
          </w:p>
        </w:tc>
        <w:tc>
          <w:tcPr>
            <w:tcW w:type="dxa" w:w="20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 business day</w:t>
            </w:r>
          </w:p>
        </w:tc>
        <w:tc>
          <w:tcPr>
            <w:tcW w:type="dxa" w:w="29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As agreed</w:t>
            </w:r>
          </w:p>
        </w:tc>
        <w:tc>
          <w:tcPr>
            <w:tcW w:type="dxa" w:w="291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Next release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S4 Low</w:t>
            </w:r>
          </w:p>
        </w:tc>
        <w:tc>
          <w:tcPr>
            <w:tcW w:type="dxa" w:w="201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 business days</w:t>
            </w:r>
          </w:p>
        </w:tc>
        <w:tc>
          <w:tcPr>
            <w:tcW w:type="dxa" w:w="29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2915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Backlog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F6E7A" w:sz="24"/>
              <w:bottom w:val="none" w:color="FFFFFF" w:sz="0"/>
              <w:right w:val="none" w:color="FFFFFF" w:sz="0"/>
            </w:tcBorders>
            <w:shd w:fill="E8F1F2" w:color="auto" w:val="clear"/>
            <w:tcMar>
              <w:top w:type="dxa" w:w="110"/>
              <w:left w:type="dxa" w:w="180"/>
              <w:bottom w:type="dxa" w:w="11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6E7A"/>
                <w:sz w:val="20"/>
                <w:szCs w:val="20"/>
              </w:rPr>
              <w:t xml:space="preserve">Note</w:t>
            </w:r>
          </w:p>
          <w:p>
            <w:pPr>
              <w:spacing w:after="50" w:line="26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These SLA figures are a Srivin proposal. The SOW leaves them open (SOW §16 ⚑, D16).</w:t>
            </w:r>
          </w:p>
        </w:tc>
      </w:tr>
    </w:tbl>
    <w:p>
      <w:pPr>
        <w:spacing w:after="160"/>
      </w:pPr>
    </w:p>
    <w:p>
      <w:pPr>
        <w:pStyle w:val="Heading1"/>
        <w:pageBreakBefore/>
      </w:pPr>
      <w:r>
        <w:t xml:space="preserve">19. Delivery metrics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433"/>
        <w:gridCol w:w="3278"/>
      </w:tblGrid>
      <w:tr>
        <w:trPr>
          <w:cantSplit/>
          <w:tblHeader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Throughput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Features in production per month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 per month from R1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Predictability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Releases on their fixed date; features that moved trains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100% on date; moved features reported with reasons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Speed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Lead time from approved spec to production; deployment frequency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Reported monthly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Quality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Escaped S1/S2 defects; change failure rate; mean time to restore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Zero S1/S2 escapes as the aim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Security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Open critical/high vulnerabilities at release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Zero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effectiveness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Share of merged changes that were AI-assisted; review time; rework rate on AI-generated code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Reported monthly; used to tune the playbook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Ownership</w:t>
            </w:r>
          </w:p>
        </w:tc>
        <w:tc>
          <w:tcPr>
            <w:tcW w:type="dxa" w:w="443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KT checklist items signed; SportSeek-authored merges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Rising every release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20. Tooling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047"/>
        <w:gridCol w:w="3278"/>
      </w:tblGrid>
      <w:tr>
        <w:trPr>
          <w:cantSplit/>
          <w:tblHeader/>
        </w:trPr>
        <w:tc>
          <w:tcPr>
            <w:tcW w:type="dxa" w:w="23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40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Ownership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engineering</w:t>
            </w:r>
          </w:p>
        </w:tc>
        <w:tc>
          <w:tcPr>
            <w:tcW w:type="dxa" w:w="40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coding agents (e.g. Claude Code) and assistants under enterprise terms, approved by SportSeek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Configured on SportSeek repositories; usage logged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Backlog, specs, tests</w:t>
            </w:r>
          </w:p>
        </w:tc>
        <w:tc>
          <w:tcPr>
            <w:tcW w:type="dxa" w:w="40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JIRA or Trello (SportSeek decision, D8)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SportSeek-owned; Srivin operates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Code &amp; CI/CD</w:t>
            </w:r>
          </w:p>
        </w:tc>
        <w:tc>
          <w:tcPr>
            <w:tcW w:type="dxa" w:w="40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version control and pipelines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SportSeek-owned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Design</w:t>
            </w:r>
          </w:p>
        </w:tc>
        <w:tc>
          <w:tcPr>
            <w:tcW w:type="dxa" w:w="40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Figma or tool agreed with SportSeek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Files handed over (SOW §13)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API docs</w:t>
            </w:r>
          </w:p>
        </w:tc>
        <w:tc>
          <w:tcPr>
            <w:tcW w:type="dxa" w:w="40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OpenAPI + Postman collections, generated and checked each merge (SOW §13)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 SportSeek repositories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4047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Logging, error tracking, metrics, uptime (SOW §6.2)</w:t>
            </w:r>
          </w:p>
        </w:tc>
        <w:tc>
          <w:tcPr>
            <w:tcW w:type="dxa" w:w="3278"/>
            <w:tcBorders>
              <w:top w:val="single" w:color="C9CED8" w:sz="4"/>
              <w:left w:val="single" w:color="C9CED8" w:sz="4"/>
              <w:bottom w:val="single" w:color="C9CED8" w:sz="4"/>
              <w:right w:val="single" w:color="C9CED8" w:sz="4"/>
            </w:tcBorders>
            <w:shd w:fill="F3F5F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SportSeek cloud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21. Commercial alignment</w:t>
      </w:r>
    </w:p>
    <w:p>
      <w:pPr>
        <w:spacing w:after="120" w:line="276"/>
      </w:pPr>
      <w:r>
        <w:rPr>
          <w:rFonts w:ascii="Arial" w:cs="Arial" w:eastAsia="Arial" w:hAnsi="Arial"/>
          <w:color w:val="1A1A1A"/>
        </w:rPr>
        <w:t xml:space="preserve">The release train also offers a simpler commercial shape, for inclusion in the proposal the SOW requests: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Price per release</w:t>
      </w:r>
      <w:r>
        <w:rPr>
          <w:rFonts w:ascii="Arial" w:cs="Arial" w:eastAsia="Arial" w:hAnsi="Arial"/>
          <w:color w:val="1A1A1A"/>
        </w:rPr>
        <w:t xml:space="preserve">: a fixed fee for each monthly release, sized to its features, invoiced on UAT sign-off. SportSeek pays for delivered, accepted features and can approve costs one release at a time, as the SOW Next Steps ask.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Launch (R1)</w:t>
      </w:r>
      <w:r>
        <w:rPr>
          <w:rFonts w:ascii="Arial" w:cs="Arial" w:eastAsia="Arial" w:hAnsi="Arial"/>
          <w:color w:val="1A1A1A"/>
        </w:rPr>
        <w:t xml:space="preserve"> priced separately as a fixed-scope hardening engagement.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Optional continuation</w:t>
      </w:r>
      <w:r>
        <w:rPr>
          <w:rFonts w:ascii="Arial" w:cs="Arial" w:eastAsia="Arial" w:hAnsi="Arial"/>
          <w:color w:val="1A1A1A"/>
        </w:rPr>
        <w:t xml:space="preserve"> into Phase 2B on the same train from April 2027, at the same per-release structure.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color w:val="1A1A1A"/>
        </w:rPr>
        <w:t xml:space="preserve">Rates, payment terms and any outcome-linked elements will be in the commercial proposal.</w:t>
      </w:r>
    </w:p>
    <w:p>
      <w:pPr>
        <w:pStyle w:val="Heading1"/>
        <w:pageBreakBefore/>
      </w:pPr>
      <w:r>
        <w:t xml:space="preserve">22. Our commitments to SportSeek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Public on 20 Oct 2026 with Shared Identity live</w:t>
      </w:r>
      <w:r>
        <w:rPr>
          <w:rFonts w:ascii="Arial" w:cs="Arial" w:eastAsia="Arial" w:hAnsi="Arial"/>
          <w:color w:val="1A1A1A"/>
        </w:rPr>
        <w:t xml:space="preserve">, with a safe fallback to the Phase 1 login.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New features in production every month</w:t>
      </w:r>
      <w:r>
        <w:rPr>
          <w:rFonts w:ascii="Arial" w:cs="Arial" w:eastAsia="Arial" w:hAnsi="Arial"/>
          <w:color w:val="1A1A1A"/>
        </w:rPr>
        <w:t xml:space="preserve"> (12 features in 6 releases), on fixed release dates, to Phase 2A completion on </w:t>
      </w:r>
      <w:r>
        <w:rPr>
          <w:rFonts w:ascii="Arial" w:cs="Arial" w:eastAsia="Arial" w:hAnsi="Arial"/>
          <w:b/>
          <w:bCs/>
          <w:color w:val="1A1A1A"/>
        </w:rPr>
        <w:t xml:space="preserve">23 Mar 2027</w:t>
      </w:r>
      <w:r>
        <w:rPr>
          <w:rFonts w:ascii="Arial" w:cs="Arial" w:eastAsia="Arial" w:hAnsi="Arial"/>
          <w:color w:val="1A1A1A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A lean senior pod</w:t>
      </w:r>
      <w:r>
        <w:rPr>
          <w:rFonts w:ascii="Arial" w:cs="Arial" w:eastAsia="Arial" w:hAnsi="Arial"/>
          <w:color w:val="1A1A1A"/>
        </w:rPr>
        <w:t xml:space="preserve"> (69.5 person-months, less than half the conventional estimate), with every AI output reviewed and owned by a named engineer.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Transparency</w:t>
      </w:r>
      <w:r>
        <w:rPr>
          <w:rFonts w:ascii="Arial" w:cs="Arial" w:eastAsia="Arial" w:hAnsi="Arial"/>
          <w:color w:val="1A1A1A"/>
        </w:rPr>
        <w:t xml:space="preserve">: weekly working software, monthly metrics including AI usage.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color w:val="1A1A1A"/>
        </w:rPr>
        <w:t xml:space="preserve">Ownership</w:t>
      </w:r>
      <w:r>
        <w:rPr>
          <w:rFonts w:ascii="Arial" w:cs="Arial" w:eastAsia="Arial" w:hAnsi="Arial"/>
          <w:color w:val="1A1A1A"/>
        </w:rPr>
        <w:t xml:space="preserve">: SportSeek's accounts, code, docs and AI artefacts; SportSeek developers able to run the train themselves.</w:t>
      </w:r>
    </w:p>
    <w:sectPr>
      <w:headerReference w:type="default" r:id="rId11"/>
      <w:headerReference w:type="first" r:id="rId12"/>
      <w:footerReference w:type="default" r:id="rId13"/>
      <w:footerReference w:type="first" r:id="rId14"/>
      <w:pgSz w:w="11906" w:h="16838" w:orient="portrait"/>
      <w:pgMar w:top="1134" w:right="1134" w:bottom="1134" w:left="1134" w:header="560" w:footer="56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5A5A"/>
        <w:sz w:val="16"/>
        <w:szCs w:val="16"/>
      </w:rPr>
      <w:t xml:space="preserve">Srivin Platforms  ·  Confidential  ·  Page </w:t>
    </w:r>
    <w:r>
      <w:rPr>
        <w:rFonts w:ascii="Arial" w:cs="Arial" w:eastAsia="Arial" w:hAnsi="Arial"/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6"/>
        <w:szCs w:val="16"/>
      </w:rPr>
      <w:t xml:space="preserve"> of </w:t>
    </w:r>
    <w:r>
      <w:rPr>
        <w:rFonts w:ascii="Arial" w:cs="Arial" w:eastAsia="Arial" w:hAnsi="Arial"/>
        <w:color w:val="5A5A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5A5A"/>
        <w:sz w:val="16"/>
        <w:szCs w:val="16"/>
      </w:rPr>
      <w:t xml:space="preserve">Srivin Platforms  ·  Confidential  ·  Page </w:t>
    </w:r>
    <w:r>
      <w:rPr>
        <w:rFonts w:ascii="Arial" w:cs="Arial" w:eastAsia="Arial" w:hAnsi="Arial"/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6"/>
        <w:szCs w:val="16"/>
      </w:rPr>
      <w:t xml:space="preserve"> of </w:t>
    </w:r>
    <w:r>
      <w:rPr>
        <w:rFonts w:ascii="Arial" w:cs="Arial" w:eastAsia="Arial" w:hAnsi="Arial"/>
        <w:color w:val="5A5A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ED8" w:sz="4" w:space="4"/>
      </w:pBd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SportSeek Phase 2A  |  Project Delivery Model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ED8" w:sz="4" w:space="4"/>
      </w:pBd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SportSeek Phase 2A  |  Project Delivery Model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0F6E7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1F3864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image" Target="media/a12ddd7395cad4a56550666f2e8e67bf09dd534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SportSeek Phase 2A — Project Delivery Model</dc:title>
  <dc:creator>Srivin Platforms</dc:creator>
  <dc:description>Delivery approach</dc:description>
  <cp:lastModifiedBy>Un-named</cp:lastModifiedBy>
  <cp:revision>1</cp:revision>
  <dcterms:created xsi:type="dcterms:W3CDTF">2026-09-27T02:17:27.431Z</dcterms:created>
  <dcterms:modified xsi:type="dcterms:W3CDTF">2026-09-27T02:17:27.431Z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