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55rxq5gbgc4" w:id="0"/>
      <w:bookmarkEnd w:id="0"/>
      <w:r w:rsidDel="00000000" w:rsidR="00000000" w:rsidRPr="00000000">
        <w:rPr>
          <w:rtl w:val="0"/>
        </w:rPr>
        <w:t xml:space="preserve">Engineering Change Order #2025-0111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Date: 2025-01-11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Author: Dr. Elena Strauss, Senior Design Engineer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xlbxlk8wshn" w:id="1"/>
      <w:bookmarkEnd w:id="1"/>
      <w:r w:rsidDel="00000000" w:rsidR="00000000" w:rsidRPr="00000000">
        <w:rPr>
          <w:rtl w:val="0"/>
        </w:rPr>
        <w:t xml:space="preserve">Change Details: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Component Affected: CMP-2002 (Adhesive Strip)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Description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Switching adhesive formula to improve durability and user comfort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Justification: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Customer complaints of allergic reactions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Manufacturing reports of adhesive failure at high humidity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Impact Analysis: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Devices Affected: GlucoMonitor Pro 2000, MediPatch GlucoSensor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Processes Affected: Assembly Line #2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Regulatory Filings Impacted: FDA 510(k) #2023-K0123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Effective Date: 2025-03-01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