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 xml:space="preserve">Paper </w:t>
      </w:r>
      <w:r w:rsidR="00F404E6">
        <w:rPr>
          <w:rFonts w:ascii="Arial" w:hAnsi="Arial" w:cs="Arial"/>
          <w:sz w:val="24"/>
          <w:szCs w:val="24"/>
        </w:rPr>
        <w:t>1</w:t>
      </w:r>
    </w:p>
    <w:p w:rsidR="003B2990" w:rsidRPr="00D140DE" w:rsidRDefault="003B2990" w:rsidP="003B2990">
      <w:pPr>
        <w:spacing w:after="0" w:line="480" w:lineRule="auto"/>
        <w:rPr>
          <w:rFonts w:ascii="Arial" w:hAnsi="Arial" w:cs="Arial"/>
          <w:i/>
          <w:sz w:val="24"/>
          <w:szCs w:val="24"/>
        </w:rPr>
      </w:pPr>
      <w:r w:rsidRPr="00D140DE">
        <w:rPr>
          <w:rFonts w:ascii="Arial" w:hAnsi="Arial" w:cs="Arial"/>
          <w:i/>
          <w:sz w:val="24"/>
          <w:szCs w:val="24"/>
        </w:rPr>
        <w:t>Fish Collection</w:t>
      </w:r>
    </w:p>
    <w:p w:rsidR="003B2990" w:rsidRPr="00D140DE" w:rsidRDefault="003B2990" w:rsidP="003B2990">
      <w:pPr>
        <w:spacing w:after="0" w:line="480" w:lineRule="auto"/>
        <w:ind w:firstLine="720"/>
        <w:rPr>
          <w:rFonts w:ascii="Arial" w:hAnsi="Arial" w:cs="Arial"/>
          <w:sz w:val="24"/>
          <w:szCs w:val="24"/>
        </w:rPr>
      </w:pPr>
      <w:r w:rsidRPr="00D140DE">
        <w:rPr>
          <w:rFonts w:ascii="Arial" w:hAnsi="Arial" w:cs="Arial"/>
          <w:sz w:val="24"/>
          <w:szCs w:val="24"/>
        </w:rPr>
        <w:t xml:space="preserve">We used a modified </w:t>
      </w:r>
      <w:proofErr w:type="spellStart"/>
      <w:r w:rsidRPr="00D140DE">
        <w:rPr>
          <w:rFonts w:ascii="Arial" w:hAnsi="Arial" w:cs="Arial"/>
          <w:sz w:val="24"/>
          <w:szCs w:val="24"/>
        </w:rPr>
        <w:t>Kvichak</w:t>
      </w:r>
      <w:proofErr w:type="spellEnd"/>
      <w:r w:rsidRPr="00D140DE">
        <w:rPr>
          <w:rFonts w:ascii="Arial" w:hAnsi="Arial" w:cs="Arial"/>
          <w:sz w:val="24"/>
          <w:szCs w:val="24"/>
        </w:rPr>
        <w:t xml:space="preserve"> trawl with a 3.2 meter by 3.2 meter opening to capture fishes during the night and during the day. We preformed three midwater trawls in 50 meter water, at depths of 15, 25 and 45 meters from the surface, which were then repeated again during the night and during the day for a total of 12 tows. The trawls were preformed east of Sand Point in Lake Washington. Each trawl was set for 15 minutes.  After fishes were caught in the trawl, the net was brought on board and fish were identified and measured.  Juvenile sockeye salmon, longfin smelt and </w:t>
      </w:r>
      <w:proofErr w:type="spellStart"/>
      <w:r w:rsidRPr="00D140DE">
        <w:rPr>
          <w:rFonts w:ascii="Arial" w:hAnsi="Arial" w:cs="Arial"/>
          <w:sz w:val="24"/>
          <w:szCs w:val="24"/>
        </w:rPr>
        <w:t>threespine</w:t>
      </w:r>
      <w:proofErr w:type="spellEnd"/>
      <w:r w:rsidRPr="00D140DE">
        <w:rPr>
          <w:rFonts w:ascii="Arial" w:hAnsi="Arial" w:cs="Arial"/>
          <w:sz w:val="24"/>
          <w:szCs w:val="24"/>
        </w:rPr>
        <w:t xml:space="preserve"> sticklebacks were kept for diet analysis in the lab to compare fish diet to the available zooplankton from the zooplankton vertical tow.</w:t>
      </w:r>
      <w:bookmarkStart w:id="0" w:name="_GoBack"/>
      <w:bookmarkEnd w:id="0"/>
    </w:p>
    <w:p w:rsidR="003B2990" w:rsidRPr="00D140DE" w:rsidRDefault="003B2990" w:rsidP="003B2990">
      <w:pPr>
        <w:spacing w:after="0" w:line="480" w:lineRule="auto"/>
        <w:rPr>
          <w:rFonts w:ascii="Arial" w:hAnsi="Arial" w:cs="Arial"/>
          <w:sz w:val="24"/>
          <w:szCs w:val="24"/>
        </w:rPr>
      </w:pPr>
      <w:r w:rsidRPr="00D140DE">
        <w:rPr>
          <w:rFonts w:ascii="Arial" w:hAnsi="Arial" w:cs="Arial"/>
          <w:i/>
          <w:sz w:val="24"/>
          <w:szCs w:val="24"/>
        </w:rPr>
        <w:t>Zooplankton Collection</w:t>
      </w:r>
    </w:p>
    <w:p w:rsidR="003B2990" w:rsidRPr="00D140DE" w:rsidRDefault="003B2990" w:rsidP="003B2990">
      <w:pPr>
        <w:spacing w:after="0" w:line="480" w:lineRule="auto"/>
        <w:ind w:firstLine="720"/>
        <w:rPr>
          <w:rFonts w:ascii="Arial" w:hAnsi="Arial" w:cs="Arial"/>
          <w:sz w:val="24"/>
          <w:szCs w:val="24"/>
        </w:rPr>
      </w:pPr>
      <w:r w:rsidRPr="00D140DE">
        <w:rPr>
          <w:rFonts w:ascii="Arial" w:hAnsi="Arial" w:cs="Arial"/>
          <w:sz w:val="24"/>
          <w:szCs w:val="24"/>
        </w:rPr>
        <w:t xml:space="preserve">Zooplankton was also collected using a 110 millimeter net with a .5 square meter opening that was pulled vertically through the water column from a depth of 25 meter to the surface.  Total zooplankton was calculated in the lab by taking 2mL samples of lake water and placing it in a petri dish with a grid on the back. The total number of zooplankton in the dish were counted and each one identified, then multiplied to calculate the total number of zooplankton per liter of lake water. Zooplankton were placed into three categories. Daphnia, </w:t>
      </w:r>
      <w:proofErr w:type="spellStart"/>
      <w:r w:rsidRPr="00D140DE">
        <w:rPr>
          <w:rFonts w:ascii="Arial" w:hAnsi="Arial" w:cs="Arial"/>
          <w:sz w:val="24"/>
          <w:szCs w:val="24"/>
        </w:rPr>
        <w:t>Diaphanasoma</w:t>
      </w:r>
      <w:proofErr w:type="spellEnd"/>
      <w:r w:rsidRPr="00D140DE">
        <w:rPr>
          <w:rFonts w:ascii="Arial" w:hAnsi="Arial" w:cs="Arial"/>
          <w:sz w:val="24"/>
          <w:szCs w:val="24"/>
        </w:rPr>
        <w:t xml:space="preserve">, </w:t>
      </w:r>
      <w:proofErr w:type="spellStart"/>
      <w:r w:rsidRPr="00D140DE">
        <w:rPr>
          <w:rFonts w:ascii="Arial" w:hAnsi="Arial" w:cs="Arial"/>
          <w:sz w:val="24"/>
          <w:szCs w:val="24"/>
        </w:rPr>
        <w:t>Leptodora</w:t>
      </w:r>
      <w:proofErr w:type="spellEnd"/>
      <w:r w:rsidRPr="00D140DE">
        <w:rPr>
          <w:rFonts w:ascii="Arial" w:hAnsi="Arial" w:cs="Arial"/>
          <w:sz w:val="24"/>
          <w:szCs w:val="24"/>
        </w:rPr>
        <w:t xml:space="preserve">, and </w:t>
      </w:r>
      <w:proofErr w:type="spellStart"/>
      <w:r w:rsidRPr="00D140DE">
        <w:rPr>
          <w:rFonts w:ascii="Arial" w:hAnsi="Arial" w:cs="Arial"/>
          <w:sz w:val="24"/>
          <w:szCs w:val="24"/>
        </w:rPr>
        <w:t>Bosmina</w:t>
      </w:r>
      <w:proofErr w:type="spellEnd"/>
      <w:r w:rsidRPr="00D140DE">
        <w:rPr>
          <w:rFonts w:ascii="Arial" w:hAnsi="Arial" w:cs="Arial"/>
          <w:sz w:val="24"/>
          <w:szCs w:val="24"/>
        </w:rPr>
        <w:t xml:space="preserve"> were all placed into the “</w:t>
      </w:r>
      <w:proofErr w:type="spellStart"/>
      <w:r w:rsidRPr="00D140DE">
        <w:rPr>
          <w:rFonts w:ascii="Arial" w:hAnsi="Arial" w:cs="Arial"/>
          <w:sz w:val="24"/>
          <w:szCs w:val="24"/>
        </w:rPr>
        <w:t>cladocerans</w:t>
      </w:r>
      <w:proofErr w:type="spellEnd"/>
      <w:r w:rsidRPr="00D140DE">
        <w:rPr>
          <w:rFonts w:ascii="Arial" w:hAnsi="Arial" w:cs="Arial"/>
          <w:sz w:val="24"/>
          <w:szCs w:val="24"/>
        </w:rPr>
        <w:t xml:space="preserve">” category. Cyclops, Calanoid, unidentified copepods and </w:t>
      </w:r>
      <w:proofErr w:type="spellStart"/>
      <w:r w:rsidRPr="00D140DE">
        <w:rPr>
          <w:rFonts w:ascii="Arial" w:hAnsi="Arial" w:cs="Arial"/>
          <w:sz w:val="24"/>
          <w:szCs w:val="24"/>
        </w:rPr>
        <w:t>nauplii</w:t>
      </w:r>
      <w:proofErr w:type="spellEnd"/>
      <w:r w:rsidRPr="00D140DE">
        <w:rPr>
          <w:rFonts w:ascii="Arial" w:hAnsi="Arial" w:cs="Arial"/>
          <w:sz w:val="24"/>
          <w:szCs w:val="24"/>
        </w:rPr>
        <w:t xml:space="preserve"> were placed into the “copepod” </w:t>
      </w:r>
      <w:proofErr w:type="spellStart"/>
      <w:r w:rsidRPr="00D140DE">
        <w:rPr>
          <w:rFonts w:ascii="Arial" w:hAnsi="Arial" w:cs="Arial"/>
          <w:sz w:val="24"/>
          <w:szCs w:val="24"/>
        </w:rPr>
        <w:t>catregory</w:t>
      </w:r>
      <w:proofErr w:type="spellEnd"/>
      <w:r w:rsidRPr="00D140DE">
        <w:rPr>
          <w:rFonts w:ascii="Arial" w:hAnsi="Arial" w:cs="Arial"/>
          <w:sz w:val="24"/>
          <w:szCs w:val="24"/>
        </w:rPr>
        <w:t xml:space="preserve">. </w:t>
      </w:r>
      <w:proofErr w:type="spellStart"/>
      <w:r w:rsidRPr="00D140DE">
        <w:rPr>
          <w:rFonts w:ascii="Arial" w:hAnsi="Arial" w:cs="Arial"/>
          <w:sz w:val="24"/>
          <w:szCs w:val="24"/>
        </w:rPr>
        <w:t>Neomysis</w:t>
      </w:r>
      <w:proofErr w:type="spellEnd"/>
      <w:r w:rsidRPr="00D140DE">
        <w:rPr>
          <w:rFonts w:ascii="Arial" w:hAnsi="Arial" w:cs="Arial"/>
          <w:sz w:val="24"/>
          <w:szCs w:val="24"/>
        </w:rPr>
        <w:t xml:space="preserve">, </w:t>
      </w:r>
      <w:proofErr w:type="spellStart"/>
      <w:r w:rsidRPr="00D140DE">
        <w:rPr>
          <w:rFonts w:ascii="Arial" w:hAnsi="Arial" w:cs="Arial"/>
          <w:sz w:val="24"/>
          <w:szCs w:val="24"/>
        </w:rPr>
        <w:t>Chironomids</w:t>
      </w:r>
      <w:proofErr w:type="spellEnd"/>
      <w:r w:rsidRPr="00D140DE">
        <w:rPr>
          <w:rFonts w:ascii="Arial" w:hAnsi="Arial" w:cs="Arial"/>
          <w:sz w:val="24"/>
          <w:szCs w:val="24"/>
        </w:rPr>
        <w:t xml:space="preserve">, </w:t>
      </w:r>
      <w:proofErr w:type="spellStart"/>
      <w:r w:rsidRPr="00D140DE">
        <w:rPr>
          <w:rFonts w:ascii="Arial" w:hAnsi="Arial" w:cs="Arial"/>
          <w:sz w:val="24"/>
          <w:szCs w:val="24"/>
        </w:rPr>
        <w:t>Odonate</w:t>
      </w:r>
      <w:proofErr w:type="spellEnd"/>
      <w:r w:rsidRPr="00D140DE">
        <w:rPr>
          <w:rFonts w:ascii="Arial" w:hAnsi="Arial" w:cs="Arial"/>
          <w:sz w:val="24"/>
          <w:szCs w:val="24"/>
        </w:rPr>
        <w:t>, fish larvae, salmonids, amphipods, annelids, nematodes, insects, insect larvae and all other unidentified prey were placed in the “other” category.</w:t>
      </w:r>
    </w:p>
    <w:p w:rsidR="003B2990" w:rsidRPr="00F404E6" w:rsidRDefault="003B2990" w:rsidP="00F404E6">
      <w:pPr>
        <w:spacing w:after="0" w:line="480" w:lineRule="auto"/>
        <w:rPr>
          <w:rFonts w:ascii="Arial" w:hAnsi="Arial" w:cs="Arial"/>
          <w:i/>
          <w:sz w:val="24"/>
          <w:szCs w:val="24"/>
        </w:rPr>
      </w:pPr>
      <w:r w:rsidRPr="00F404E6">
        <w:rPr>
          <w:rFonts w:ascii="Arial" w:hAnsi="Arial" w:cs="Arial"/>
          <w:i/>
          <w:sz w:val="24"/>
          <w:szCs w:val="24"/>
        </w:rPr>
        <w:lastRenderedPageBreak/>
        <w:t>Diet Analysis</w:t>
      </w:r>
    </w:p>
    <w:p w:rsidR="00BE4F90" w:rsidRDefault="003B2990" w:rsidP="00F404E6">
      <w:pPr>
        <w:spacing w:line="480" w:lineRule="auto"/>
        <w:rPr>
          <w:rFonts w:ascii="Arial" w:hAnsi="Arial" w:cs="Arial"/>
          <w:sz w:val="24"/>
          <w:szCs w:val="24"/>
        </w:rPr>
      </w:pPr>
      <w:r w:rsidRPr="00F404E6">
        <w:rPr>
          <w:rFonts w:ascii="Arial" w:hAnsi="Arial" w:cs="Arial"/>
          <w:i/>
          <w:sz w:val="24"/>
          <w:szCs w:val="24"/>
        </w:rPr>
        <w:tab/>
      </w:r>
      <w:r w:rsidRPr="00F404E6">
        <w:rPr>
          <w:rFonts w:ascii="Arial" w:hAnsi="Arial" w:cs="Arial"/>
          <w:sz w:val="24"/>
          <w:szCs w:val="24"/>
        </w:rPr>
        <w:t xml:space="preserve">The diet of the collected fish was analyzed by taking a subsample of the fish caught and dissecting them to remove their stomachs. After the stomachs were removed, they were cut open and rinsed into a petri dish. Total zooplankton was counted with the same method as the total zooplankton in the lake water. Stomach contents were categorized as fully digested, not digested or partially digested. Stomach fullness was estimated as a percent total volume of the stomach. We calculated </w:t>
      </w:r>
      <w:proofErr w:type="spellStart"/>
      <w:r w:rsidRPr="00F404E6">
        <w:rPr>
          <w:rFonts w:ascii="Arial" w:hAnsi="Arial" w:cs="Arial"/>
          <w:sz w:val="24"/>
          <w:szCs w:val="24"/>
        </w:rPr>
        <w:t>Ivlev’s</w:t>
      </w:r>
      <w:proofErr w:type="spellEnd"/>
      <w:r w:rsidRPr="00F404E6">
        <w:rPr>
          <w:rFonts w:ascii="Arial" w:hAnsi="Arial" w:cs="Arial"/>
          <w:sz w:val="24"/>
          <w:szCs w:val="24"/>
        </w:rPr>
        <w:t xml:space="preserve"> electivity index that provides some quantification of the extent to which species are eaten more or less often than would occur by chance. We used the equation  E = (</w:t>
      </w:r>
      <w:proofErr w:type="spellStart"/>
      <w:r w:rsidRPr="00F404E6">
        <w:rPr>
          <w:rFonts w:ascii="Arial" w:hAnsi="Arial" w:cs="Arial"/>
          <w:sz w:val="24"/>
          <w:szCs w:val="24"/>
        </w:rPr>
        <w:t>r</w:t>
      </w:r>
      <w:r w:rsidRPr="00F404E6">
        <w:rPr>
          <w:rFonts w:ascii="Arial" w:hAnsi="Arial" w:cs="Arial"/>
          <w:sz w:val="24"/>
          <w:szCs w:val="24"/>
          <w:vertAlign w:val="subscript"/>
        </w:rPr>
        <w:t>i</w:t>
      </w:r>
      <w:proofErr w:type="spellEnd"/>
      <w:r w:rsidRPr="00F404E6">
        <w:rPr>
          <w:rFonts w:ascii="Arial" w:hAnsi="Arial" w:cs="Arial"/>
          <w:sz w:val="24"/>
          <w:szCs w:val="24"/>
        </w:rPr>
        <w:t xml:space="preserve"> - p</w:t>
      </w:r>
      <w:r w:rsidRPr="00F404E6">
        <w:rPr>
          <w:rFonts w:ascii="Arial" w:hAnsi="Arial" w:cs="Arial"/>
          <w:sz w:val="24"/>
          <w:szCs w:val="24"/>
          <w:vertAlign w:val="subscript"/>
        </w:rPr>
        <w:t>i</w:t>
      </w:r>
      <w:r w:rsidRPr="00F404E6">
        <w:rPr>
          <w:rFonts w:ascii="Arial" w:hAnsi="Arial" w:cs="Arial"/>
          <w:sz w:val="24"/>
          <w:szCs w:val="24"/>
        </w:rPr>
        <w:t>)/(</w:t>
      </w:r>
      <w:proofErr w:type="spellStart"/>
      <w:r w:rsidRPr="00F404E6">
        <w:rPr>
          <w:rFonts w:ascii="Arial" w:hAnsi="Arial" w:cs="Arial"/>
          <w:sz w:val="24"/>
          <w:szCs w:val="24"/>
        </w:rPr>
        <w:t>r</w:t>
      </w:r>
      <w:r w:rsidRPr="00F404E6">
        <w:rPr>
          <w:rFonts w:ascii="Arial" w:hAnsi="Arial" w:cs="Arial"/>
          <w:sz w:val="24"/>
          <w:szCs w:val="24"/>
          <w:vertAlign w:val="subscript"/>
        </w:rPr>
        <w:t>i</w:t>
      </w:r>
      <w:proofErr w:type="spellEnd"/>
      <w:r w:rsidRPr="00F404E6">
        <w:rPr>
          <w:rFonts w:ascii="Arial" w:hAnsi="Arial" w:cs="Arial"/>
          <w:sz w:val="24"/>
          <w:szCs w:val="24"/>
        </w:rPr>
        <w:t xml:space="preserve"> + p</w:t>
      </w:r>
      <w:r w:rsidRPr="00F404E6">
        <w:rPr>
          <w:rFonts w:ascii="Arial" w:hAnsi="Arial" w:cs="Arial"/>
          <w:sz w:val="24"/>
          <w:szCs w:val="24"/>
          <w:vertAlign w:val="subscript"/>
        </w:rPr>
        <w:t>i</w:t>
      </w:r>
      <w:r w:rsidRPr="00F404E6">
        <w:rPr>
          <w:rFonts w:ascii="Arial" w:hAnsi="Arial" w:cs="Arial"/>
          <w:sz w:val="24"/>
          <w:szCs w:val="24"/>
        </w:rPr>
        <w:t xml:space="preserve">) where </w:t>
      </w:r>
      <w:proofErr w:type="spellStart"/>
      <w:r w:rsidRPr="00F404E6">
        <w:rPr>
          <w:rFonts w:ascii="Arial" w:hAnsi="Arial" w:cs="Arial"/>
          <w:sz w:val="24"/>
          <w:szCs w:val="24"/>
        </w:rPr>
        <w:t>r</w:t>
      </w:r>
      <w:r w:rsidRPr="00F404E6">
        <w:rPr>
          <w:rFonts w:ascii="Arial" w:hAnsi="Arial" w:cs="Arial"/>
          <w:sz w:val="24"/>
          <w:szCs w:val="24"/>
          <w:vertAlign w:val="subscript"/>
        </w:rPr>
        <w:t>i</w:t>
      </w:r>
      <w:proofErr w:type="spellEnd"/>
      <w:r w:rsidRPr="00F404E6">
        <w:rPr>
          <w:rFonts w:ascii="Arial" w:hAnsi="Arial" w:cs="Arial"/>
          <w:sz w:val="24"/>
          <w:szCs w:val="24"/>
        </w:rPr>
        <w:t xml:space="preserve"> = % of food item in the ration, and p</w:t>
      </w:r>
      <w:r w:rsidRPr="00F404E6">
        <w:rPr>
          <w:rFonts w:ascii="Arial" w:hAnsi="Arial" w:cs="Arial"/>
          <w:sz w:val="24"/>
          <w:szCs w:val="24"/>
          <w:vertAlign w:val="subscript"/>
        </w:rPr>
        <w:t>i</w:t>
      </w:r>
      <w:r w:rsidRPr="00F404E6">
        <w:rPr>
          <w:rFonts w:ascii="Arial" w:hAnsi="Arial" w:cs="Arial"/>
          <w:sz w:val="24"/>
          <w:szCs w:val="24"/>
        </w:rPr>
        <w:t xml:space="preserve"> = % of food item in the environment. Values of </w:t>
      </w:r>
      <w:proofErr w:type="spellStart"/>
      <w:r w:rsidRPr="00F404E6">
        <w:rPr>
          <w:rFonts w:ascii="Arial" w:hAnsi="Arial" w:cs="Arial"/>
          <w:sz w:val="24"/>
          <w:szCs w:val="24"/>
        </w:rPr>
        <w:t>Ivlev's</w:t>
      </w:r>
      <w:proofErr w:type="spellEnd"/>
      <w:r w:rsidRPr="00F404E6">
        <w:rPr>
          <w:rFonts w:ascii="Arial" w:hAnsi="Arial" w:cs="Arial"/>
          <w:sz w:val="24"/>
          <w:szCs w:val="24"/>
        </w:rPr>
        <w:t xml:space="preserve"> index (</w:t>
      </w:r>
      <w:hyperlink r:id="rId4" w:anchor="1" w:history="1">
        <w:r w:rsidRPr="00F404E6">
          <w:rPr>
            <w:rStyle w:val="Hyperlink"/>
            <w:rFonts w:ascii="Arial" w:hAnsi="Arial" w:cs="Arial"/>
            <w:color w:val="auto"/>
            <w:sz w:val="24"/>
            <w:szCs w:val="24"/>
          </w:rPr>
          <w:t>1</w:t>
        </w:r>
      </w:hyperlink>
      <w:r w:rsidRPr="00F404E6">
        <w:rPr>
          <w:rFonts w:ascii="Arial" w:hAnsi="Arial" w:cs="Arial"/>
          <w:sz w:val="24"/>
          <w:szCs w:val="24"/>
        </w:rPr>
        <w:t>) range from -1.00 (complete avoidance) to +1.00 (exclusive selection) (</w:t>
      </w:r>
      <w:proofErr w:type="spellStart"/>
      <w:r w:rsidRPr="00F404E6">
        <w:rPr>
          <w:rFonts w:ascii="Arial" w:hAnsi="Arial" w:cs="Arial"/>
          <w:sz w:val="24"/>
          <w:szCs w:val="24"/>
        </w:rPr>
        <w:t>Lechowicz</w:t>
      </w:r>
      <w:proofErr w:type="spellEnd"/>
      <w:r w:rsidRPr="00F404E6">
        <w:rPr>
          <w:rFonts w:ascii="Arial" w:hAnsi="Arial" w:cs="Arial"/>
          <w:sz w:val="24"/>
          <w:szCs w:val="24"/>
        </w:rPr>
        <w:t xml:space="preserve"> </w:t>
      </w:r>
      <w:r w:rsidRPr="00D140DE">
        <w:rPr>
          <w:rFonts w:ascii="Arial" w:hAnsi="Arial" w:cs="Arial"/>
          <w:sz w:val="24"/>
          <w:szCs w:val="24"/>
        </w:rPr>
        <w:t>1982).</w:t>
      </w:r>
    </w:p>
    <w:p w:rsidR="003B2990" w:rsidRDefault="003B2990" w:rsidP="003B2990"/>
    <w:p w:rsidR="003B2990" w:rsidRDefault="003B2990" w:rsidP="003B2990"/>
    <w:p w:rsidR="003B2990" w:rsidRDefault="003B2990">
      <w:pPr>
        <w:spacing w:after="0" w:line="240" w:lineRule="auto"/>
      </w:pPr>
      <w:r>
        <w:br w:type="page"/>
      </w:r>
    </w:p>
    <w:p w:rsidR="003B2990" w:rsidRDefault="003B2990" w:rsidP="003B2990"/>
    <w:p w:rsidR="003B2990" w:rsidRDefault="003B2990" w:rsidP="003B2990"/>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 xml:space="preserve">Paper </w:t>
      </w:r>
      <w:r w:rsidR="00F404E6">
        <w:rPr>
          <w:rFonts w:ascii="Arial" w:hAnsi="Arial" w:cs="Arial"/>
          <w:sz w:val="24"/>
          <w:szCs w:val="24"/>
        </w:rPr>
        <w:t>2</w:t>
      </w:r>
    </w:p>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 xml:space="preserve">We headed directly East of Sand Point in Seattle, to water about 60 meters deep in Lake Washington. Each year the same research vessel, the </w:t>
      </w:r>
      <w:proofErr w:type="spellStart"/>
      <w:r w:rsidRPr="00D140DE">
        <w:rPr>
          <w:rFonts w:ascii="Arial" w:hAnsi="Arial" w:cs="Arial"/>
          <w:i/>
          <w:sz w:val="24"/>
          <w:szCs w:val="24"/>
        </w:rPr>
        <w:t>Chasina</w:t>
      </w:r>
      <w:proofErr w:type="spellEnd"/>
      <w:r w:rsidRPr="00D140DE">
        <w:rPr>
          <w:rFonts w:ascii="Arial" w:hAnsi="Arial" w:cs="Arial"/>
          <w:i/>
          <w:sz w:val="24"/>
          <w:szCs w:val="24"/>
        </w:rPr>
        <w:t xml:space="preserve"> </w:t>
      </w:r>
      <w:r w:rsidRPr="00D140DE">
        <w:rPr>
          <w:rFonts w:ascii="Arial" w:hAnsi="Arial" w:cs="Arial"/>
          <w:sz w:val="24"/>
          <w:szCs w:val="24"/>
        </w:rPr>
        <w:t xml:space="preserve">is used in order to account for consistency. Additionally, the same net type, a modified </w:t>
      </w:r>
      <w:proofErr w:type="spellStart"/>
      <w:r w:rsidRPr="00D140DE">
        <w:rPr>
          <w:rFonts w:ascii="Arial" w:hAnsi="Arial" w:cs="Arial"/>
          <w:sz w:val="24"/>
          <w:szCs w:val="24"/>
        </w:rPr>
        <w:t>Kvichak</w:t>
      </w:r>
      <w:proofErr w:type="spellEnd"/>
      <w:r w:rsidRPr="00D140DE">
        <w:rPr>
          <w:rFonts w:ascii="Arial" w:hAnsi="Arial" w:cs="Arial"/>
          <w:sz w:val="24"/>
          <w:szCs w:val="24"/>
        </w:rPr>
        <w:t xml:space="preserve"> net, is used each time, with an opening of 3.2 x 3.2 meters. The net is let out at three different depths, 50, 25, and 10 meters in that order along the same stretch of water in order to  look at benthic/demersal, mid-water, and surface counts of fishes. Each of these three tows was repeated for a total of two tows per shift. We had two shifts, an afternoon and night-time shift, and repeated each of these two times, for a total of four shifts, and 12 tows per season. We then repeated these steps twice a year: once in the Fall, and once in the Spring. </w:t>
      </w:r>
    </w:p>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ab/>
        <w:t>After a standard period of time, we pulled in the net, and emptied the contents into bins to be counted. The fish were sorted and length measurements were taken. We measured salmonids to with fork lengths, and other fishes with standard length. After measurement, we placed them in a separate bin until tow was complete. After a tow was complete, fish were replaced alive back into the lake, except samples taken for gut analysis. These samples were placed in a highly concentrated sedative in order to humanely euthanize the fishes. They were then sorted by species and frozen for further analysis.</w:t>
      </w:r>
    </w:p>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ab/>
        <w:t xml:space="preserve">In the same area, we also took several other measurements. We used a vertical plankton tow with a 110 micrometer net with a 0.5 meter squared opening to take a sample from 25 m deep to the surface. The net was pulled up slowly to avoid overflow </w:t>
      </w:r>
      <w:r w:rsidRPr="00D140DE">
        <w:rPr>
          <w:rFonts w:ascii="Arial" w:hAnsi="Arial" w:cs="Arial"/>
          <w:sz w:val="24"/>
          <w:szCs w:val="24"/>
        </w:rPr>
        <w:lastRenderedPageBreak/>
        <w:t xml:space="preserve">and loss of plankton. Samples were placed in jars for further analysis. We also used a </w:t>
      </w:r>
      <w:proofErr w:type="spellStart"/>
      <w:r w:rsidRPr="00D140DE">
        <w:rPr>
          <w:rFonts w:ascii="Arial" w:hAnsi="Arial" w:cs="Arial"/>
          <w:sz w:val="24"/>
          <w:szCs w:val="24"/>
        </w:rPr>
        <w:t>secchi</w:t>
      </w:r>
      <w:proofErr w:type="spellEnd"/>
      <w:r w:rsidRPr="00D140DE">
        <w:rPr>
          <w:rFonts w:ascii="Arial" w:hAnsi="Arial" w:cs="Arial"/>
          <w:sz w:val="24"/>
          <w:szCs w:val="24"/>
        </w:rPr>
        <w:t xml:space="preserve"> in order to measure visibility. We lowered the </w:t>
      </w:r>
      <w:proofErr w:type="spellStart"/>
      <w:r w:rsidRPr="00D140DE">
        <w:rPr>
          <w:rFonts w:ascii="Arial" w:hAnsi="Arial" w:cs="Arial"/>
          <w:sz w:val="24"/>
          <w:szCs w:val="24"/>
        </w:rPr>
        <w:t>secchi</w:t>
      </w:r>
      <w:proofErr w:type="spellEnd"/>
      <w:r w:rsidRPr="00D140DE">
        <w:rPr>
          <w:rFonts w:ascii="Arial" w:hAnsi="Arial" w:cs="Arial"/>
          <w:sz w:val="24"/>
          <w:szCs w:val="24"/>
        </w:rPr>
        <w:t xml:space="preserve"> over the side of the vessel, and following general </w:t>
      </w:r>
      <w:proofErr w:type="spellStart"/>
      <w:r w:rsidRPr="00D140DE">
        <w:rPr>
          <w:rFonts w:ascii="Arial" w:hAnsi="Arial" w:cs="Arial"/>
          <w:sz w:val="24"/>
          <w:szCs w:val="24"/>
        </w:rPr>
        <w:t>secchi</w:t>
      </w:r>
      <w:proofErr w:type="spellEnd"/>
      <w:r w:rsidRPr="00D140DE">
        <w:rPr>
          <w:rFonts w:ascii="Arial" w:hAnsi="Arial" w:cs="Arial"/>
          <w:sz w:val="24"/>
          <w:szCs w:val="24"/>
        </w:rPr>
        <w:t xml:space="preserve"> guidelines, lowered it until we could no longer distinguish the black and white parts of the disc.</w:t>
      </w:r>
    </w:p>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ab/>
        <w:t xml:space="preserve">We counted plankton estimates by mixing our samples to reduce bias, and taking a sample from the middle of the jar. We then spread sample out over a gridded area, and counted the specimens within a grid using dissection microscopes. Following plankton abundance estimates, we thawed out our sample fishes. We dissected these samples and removed the stomachs from them. We first took a qualitative estimate of the “fullness” of the stomach as either 0,25,50,75, or 100% full. We then carefully slit open the stomach, and emptied it by alternatively scraping and pouring water over the stomach. Gut contents were identified qualitatively on how digested they were from 1- Fresh, to 3- Fully digested. Then plankton and other organisms were counted and assessed. </w:t>
      </w:r>
    </w:p>
    <w:p w:rsidR="003B2990" w:rsidRPr="00D140DE" w:rsidRDefault="003B2990" w:rsidP="003B2990">
      <w:pPr>
        <w:spacing w:after="0" w:line="480" w:lineRule="auto"/>
        <w:rPr>
          <w:rFonts w:ascii="Arial" w:hAnsi="Arial" w:cs="Arial"/>
          <w:sz w:val="24"/>
          <w:szCs w:val="24"/>
        </w:rPr>
      </w:pPr>
      <w:r w:rsidRPr="00D140DE">
        <w:rPr>
          <w:rFonts w:ascii="Arial" w:hAnsi="Arial" w:cs="Arial"/>
          <w:sz w:val="24"/>
          <w:szCs w:val="24"/>
        </w:rPr>
        <w:tab/>
        <w:t>All data and all subsequent calculations were recorded on Microsoft Excel.</w:t>
      </w:r>
    </w:p>
    <w:p w:rsidR="003B2990" w:rsidRDefault="003B2990" w:rsidP="003B2990">
      <w:r w:rsidRPr="005604B0">
        <w:rPr>
          <w:rFonts w:ascii="Arial" w:hAnsi="Arial" w:cs="Arial"/>
        </w:rPr>
        <w:br w:type="column"/>
      </w:r>
    </w:p>
    <w:sectPr w:rsidR="003B2990" w:rsidSect="00791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90"/>
    <w:rsid w:val="003B2990"/>
    <w:rsid w:val="00413321"/>
    <w:rsid w:val="005B7C8A"/>
    <w:rsid w:val="005C4E2E"/>
    <w:rsid w:val="00631B41"/>
    <w:rsid w:val="00791948"/>
    <w:rsid w:val="00823EA9"/>
    <w:rsid w:val="008E7686"/>
    <w:rsid w:val="00C15A4B"/>
    <w:rsid w:val="00C67C2B"/>
    <w:rsid w:val="00EE7C91"/>
    <w:rsid w:val="00F4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0087"/>
  <w15:chartTrackingRefBased/>
  <w15:docId w15:val="{2D4B7481-B90D-E34E-8E86-79613F47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299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29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igital.library.okstate.edu/oas/oas_htm_files/v59/p4_11n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2019-10-16T15:34:00Z</dcterms:created>
  <dcterms:modified xsi:type="dcterms:W3CDTF">2021-01-21T18:34:00Z</dcterms:modified>
</cp:coreProperties>
</file>