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9"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8"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37"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Start w:id="36" w:name="refs"/>
    <w:bookmarkStart w:id="2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2">
        <w:r>
          <w:rPr>
            <w:rStyle w:val="Hyperlink"/>
          </w:rPr>
          <w:t xml:space="preserve">https://doi.org/10.1016/j.fsi.2017.08.047</w:t>
        </w:r>
      </w:hyperlink>
      <w:r>
        <w:t xml:space="preserve">.</w:t>
      </w:r>
    </w:p>
    <w:bookmarkEnd w:id="23"/>
    <w:bookmarkStart w:id="2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24">
        <w:r>
          <w:rPr>
            <w:rStyle w:val="Hyperlink"/>
          </w:rPr>
          <w:t xml:space="preserve">https://doi.org/10.3390/microorganisms13040825</w:t>
        </w:r>
      </w:hyperlink>
      <w:r>
        <w:t xml:space="preserve">.</w:t>
      </w:r>
    </w:p>
    <w:bookmarkEnd w:id="25"/>
    <w:bookmarkStart w:id="2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26">
        <w:r>
          <w:rPr>
            <w:rStyle w:val="Hyperlink"/>
          </w:rPr>
          <w:t xml:space="preserve">https://doi.org/10.3390/genes15060658</w:t>
        </w:r>
      </w:hyperlink>
      <w:r>
        <w:t xml:space="preserve">.</w:t>
      </w:r>
    </w:p>
    <w:bookmarkEnd w:id="27"/>
    <w:bookmarkStart w:id="2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28">
        <w:r>
          <w:rPr>
            <w:rStyle w:val="Hyperlink"/>
          </w:rPr>
          <w:t xml:space="preserve">https://doi.org/10.3390/ijms26030931</w:t>
        </w:r>
      </w:hyperlink>
      <w:r>
        <w:t xml:space="preserve">.</w:t>
      </w:r>
    </w:p>
    <w:bookmarkEnd w:id="29"/>
    <w:bookmarkStart w:id="3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0">
        <w:r>
          <w:rPr>
            <w:rStyle w:val="Hyperlink"/>
          </w:rPr>
          <w:t xml:space="preserve">https://doi.org/10.1016/j.heliyon.2023.e23695</w:t>
        </w:r>
      </w:hyperlink>
      <w:r>
        <w:t xml:space="preserve">.</w:t>
      </w:r>
    </w:p>
    <w:bookmarkEnd w:id="31"/>
    <w:bookmarkStart w:id="3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2">
        <w:r>
          <w:rPr>
            <w:rStyle w:val="Hyperlink"/>
          </w:rPr>
          <w:t xml:space="preserve">https://doi.org/10.3389/fgene.2021.666539</w:t>
        </w:r>
      </w:hyperlink>
      <w:r>
        <w:t xml:space="preserve">.</w:t>
      </w:r>
    </w:p>
    <w:bookmarkEnd w:id="33"/>
    <w:bookmarkStart w:id="3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34">
        <w:r>
          <w:rPr>
            <w:rStyle w:val="Hyperlink"/>
          </w:rPr>
          <w:t xml:space="preserve">https://doi.org/10.1016/j.cbd.2021.100955</w:t>
        </w:r>
      </w:hyperlink>
      <w:r>
        <w:t xml:space="preserve">.</w:t>
      </w:r>
    </w:p>
    <w:bookmarkEnd w:id="35"/>
    <w:bookmarkEnd w:id="36"/>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DNA methylation, Mytilus chilensis, epigenetics, adaptation, aquaculture</cp:keywords>
  <dcterms:created xsi:type="dcterms:W3CDTF">2025-08-13T03:45:48Z</dcterms:created>
  <dcterms:modified xsi:type="dcterms:W3CDTF">2025-08-13T03:45:48Z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