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2.png" ContentType="image/png"/>
  <Override PartName="/word/media/rId3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7"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 As shown in</w:t>
      </w:r>
      <w:r>
        <w:t xml:space="preserve"> </w:t>
      </w:r>
      <w:hyperlink w:anchor="fig-study-locations">
        <w:r>
          <w:rPr>
            <w:rStyle w:val="Hyperlink"/>
          </w:rPr>
          <w:t xml:space="preserve">Figure 1</w:t>
        </w:r>
      </w:hyperlink>
      <w:r>
        <w:t xml:space="preserve"> </w:t>
      </w:r>
      <w:r>
        <w:t xml:space="preserve">and detailed in</w:t>
      </w:r>
      <w:r>
        <w:t xml:space="preserve"> </w:t>
      </w:r>
      <w:hyperlink w:anchor="tbl-env-comparison">
        <w:r>
          <w:rPr>
            <w:rStyle w:val="Hyperlink"/>
          </w:rPr>
          <w:t xml:space="preserve">Table 1</w:t>
        </w:r>
      </w:hyperlink>
      <w:r>
        <w:t xml:space="preserve">, these two seedbeds exhibit contrasting environmental conditions, including differences in water temperature, salinity, depth, and aquaculture intensity that may contribute to the observed population-level adaptations.</w:t>
      </w:r>
    </w:p>
    <w:bookmarkStart w:id="25" w:name="cell-fig-study-locations"/>
    <w:tbl>
      <w:tblPr>
        <w:tblStyle w:val="Table"/>
        <w:tblW w:type="pct" w:w="5000"/>
        <w:tblLayout w:type="fixed"/>
        <w:tblLook w:firstRow="0" w:lastRow="0" w:firstColumn="0" w:lastColumn="0" w:noHBand="0" w:noVBand="0" w:val="0000"/>
      </w:tblPr>
      <w:tblGrid>
        <w:gridCol w:w="7920"/>
      </w:tblGrid>
      <w:tr>
        <w:tc>
          <w:tcPr/>
          <w:bookmarkStart w:id="23" w:name="fig-study-locations"/>
          <w:p>
            <w:pPr>
              <w:pStyle w:val="Compact"/>
              <w:jc w:val="center"/>
            </w:pPr>
            <w:r>
              <w:drawing>
                <wp:inline>
                  <wp:extent cx="5334000" cy="4267200"/>
                  <wp:effectExtent b="0" l="0" r="0" t="0"/>
                  <wp:docPr descr="" title="" id="21" name="Picture"/>
                  <a:graphic>
                    <a:graphicData uri="http://schemas.openxmlformats.org/drawingml/2006/picture">
                      <pic:pic>
                        <pic:nvPicPr>
                          <pic:cNvPr descr="index_files/figure-docx/fig-study-location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 Map showing the study locations Cochamó (41°S) and Yaldad (43°S) in the inner sea of Chiloé Island, Chile. The map highlights key environmental differences between these contrasting seedbeds, including variations in water depth, temperature, salinity, and aquaculture intensity that may contribute to population-level adaptation in Mytilus chilensis.</w:t>
            </w:r>
          </w:p>
          <w:bookmarkEnd w:id="23"/>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25"/>
    <w:p>
      <w:pPr>
        <w:pStyle w:val="BodyText"/>
      </w:pPr>
      <w:r>
        <w:rPr>
          <w:b/>
          <w:bCs/>
        </w:rPr>
        <w:t xml:space="preserve">Table 1.</w:t>
      </w:r>
      <w:r>
        <w:t xml:space="preserve"> </w:t>
      </w:r>
      <w:r>
        <w:t xml:space="preserve">Environmental characteristics of the study locations in the inner sea of Chiloé Island, Chile.</w:t>
      </w:r>
    </w:p>
    <w:tbl>
      <w:tblPr>
        <w:tblStyle w:val="Table"/>
        <w:tblW w:type="pct" w:w="5000"/>
        <w:tblLayout w:type="fixed"/>
        <w:tblLook w:firstRow="0" w:lastRow="0" w:firstColumn="0" w:lastColumn="0" w:noHBand="0" w:noVBand="0" w:val="0000"/>
      </w:tblPr>
      <w:tblGrid>
        <w:gridCol w:w="7920"/>
      </w:tblGrid>
      <w:tr>
        <w:tc>
          <w:tcPr/>
          <w:bookmarkStart w:id="26" w:name="tbl-env-comparison"/>
          <w:p>
            <w:pPr>
              <w:jc w:val="center"/>
            </w:pPr>
            <w:pPr>
              <w:jc w:val="left"/>
              <w:spacing w:before="200"/>
              <w:pStyle w:val="ImageCaption"/>
            </w:pPr>
            <w:r>
              <w:t xml:space="preserve">Table 1: Environmental characteristics and aquaculture conditions at the two study locations</w:t>
            </w:r>
          </w:p>
          <w:tbl>
            <w:tblPr>
              <w:tblStyle w:val="Table"/>
              <w:tblW w:type="pct" w:w="5000"/>
              <w:tblLayout w:type="fixed"/>
              <w:tblLook w:firstRow="1" w:lastRow="0" w:firstColumn="0" w:lastColumn="0" w:noHBand="0" w:noVBand="0" w:val="0020"/>
            </w:tblPr>
            <w:tblGrid>
              <w:gridCol w:w="1849"/>
              <w:gridCol w:w="3295"/>
              <w:gridCol w:w="2774"/>
            </w:tblGrid>
            <w:tr>
              <w:trPr>
                <w:tblHeader w:val="on"/>
              </w:trPr>
              <w:tc>
                <w:tcPr/>
                <w:p>
                  <w:pPr>
                    <w:pStyle w:val="Compact"/>
                    <w:jc w:val="left"/>
                    <w:jc w:val="center"/>
                  </w:pPr>
                  <w:r>
                    <w:t xml:space="preserve">Environmental Factor</w:t>
                  </w:r>
                </w:p>
              </w:tc>
              <w:tc>
                <w:tcPr/>
                <w:p>
                  <w:pPr>
                    <w:pStyle w:val="Compact"/>
                    <w:jc w:val="center"/>
                    <w:jc w:val="center"/>
                  </w:pPr>
                  <w:r>
                    <w:t xml:space="preserve">Cochamó (41°S)</w:t>
                  </w:r>
                </w:p>
              </w:tc>
              <w:tc>
                <w:tcPr/>
                <w:p>
                  <w:pPr>
                    <w:pStyle w:val="Compact"/>
                    <w:jc w:val="center"/>
                    <w:jc w:val="center"/>
                  </w:pPr>
                  <w:r>
                    <w:t xml:space="preserve">Yaldad (43°S)</w:t>
                  </w:r>
                </w:p>
              </w:tc>
            </w:tr>
            <w:tr>
              <w:tc>
                <w:tcPr/>
                <w:p>
                  <w:pPr>
                    <w:pStyle w:val="Compact"/>
                    <w:jc w:val="left"/>
                    <w:jc w:val="center"/>
                  </w:pPr>
                  <w:r>
                    <w:t xml:space="preserve">Geographic location</w:t>
                  </w:r>
                </w:p>
              </w:tc>
              <w:tc>
                <w:tcPr/>
                <w:p>
                  <w:pPr>
                    <w:pStyle w:val="Compact"/>
                    <w:jc w:val="center"/>
                    <w:jc w:val="center"/>
                  </w:pPr>
                  <w:r>
                    <w:t xml:space="preserve">Northern inner sea</w:t>
                  </w:r>
                </w:p>
              </w:tc>
              <w:tc>
                <w:tcPr/>
                <w:p>
                  <w:pPr>
                    <w:pStyle w:val="Compact"/>
                    <w:jc w:val="center"/>
                    <w:jc w:val="center"/>
                  </w:pPr>
                  <w:r>
                    <w:t xml:space="preserve">Southern inner sea</w:t>
                  </w:r>
                </w:p>
              </w:tc>
            </w:tr>
            <w:tr>
              <w:tc>
                <w:tcPr/>
                <w:p>
                  <w:pPr>
                    <w:pStyle w:val="Compact"/>
                    <w:jc w:val="left"/>
                    <w:jc w:val="center"/>
                  </w:pPr>
                  <w:r>
                    <w:t xml:space="preserve">Latitude</w:t>
                  </w:r>
                </w:p>
              </w:tc>
              <w:tc>
                <w:tcPr/>
                <w:p>
                  <w:pPr>
                    <w:pStyle w:val="Compact"/>
                    <w:jc w:val="center"/>
                    <w:jc w:val="center"/>
                  </w:pPr>
                  <w:r>
                    <w:t xml:space="preserve">41°S</w:t>
                  </w:r>
                </w:p>
              </w:tc>
              <w:tc>
                <w:tcPr/>
                <w:p>
                  <w:pPr>
                    <w:pStyle w:val="Compact"/>
                    <w:jc w:val="center"/>
                    <w:jc w:val="center"/>
                  </w:pPr>
                  <w:r>
                    <w:t xml:space="preserve">43°S</w:t>
                  </w:r>
                </w:p>
              </w:tc>
            </w:tr>
            <w:tr>
              <w:tc>
                <w:tcPr/>
                <w:p>
                  <w:pPr>
                    <w:pStyle w:val="Compact"/>
                    <w:jc w:val="left"/>
                    <w:jc w:val="center"/>
                  </w:pPr>
                  <w:r>
                    <w:t xml:space="preserve">Longitude</w:t>
                  </w:r>
                </w:p>
              </w:tc>
              <w:tc>
                <w:tcPr/>
                <w:p>
                  <w:pPr>
                    <w:pStyle w:val="Compact"/>
                    <w:jc w:val="center"/>
                    <w:jc w:val="center"/>
                  </w:pPr>
                  <w:r>
                    <w:t xml:space="preserve">72.8°W</w:t>
                  </w:r>
                </w:p>
              </w:tc>
              <w:tc>
                <w:tcPr/>
                <w:p>
                  <w:pPr>
                    <w:pStyle w:val="Compact"/>
                    <w:jc w:val="center"/>
                    <w:jc w:val="center"/>
                  </w:pPr>
                  <w:r>
                    <w:t xml:space="preserve">73.5°W</w:t>
                  </w:r>
                </w:p>
              </w:tc>
            </w:tr>
            <w:tr>
              <w:tc>
                <w:tcPr/>
                <w:p>
                  <w:pPr>
                    <w:pStyle w:val="Compact"/>
                    <w:jc w:val="left"/>
                    <w:jc w:val="center"/>
                  </w:pPr>
                  <w:r>
                    <w:t xml:space="preserve">Water temperature range</w:t>
                  </w:r>
                </w:p>
              </w:tc>
              <w:tc>
                <w:tcPr/>
                <w:p>
                  <w:pPr>
                    <w:pStyle w:val="Compact"/>
                    <w:jc w:val="center"/>
                    <w:jc w:val="center"/>
                  </w:pPr>
                  <w:r>
                    <w:t xml:space="preserve">12-18°C</w:t>
                  </w:r>
                </w:p>
              </w:tc>
              <w:tc>
                <w:tcPr/>
                <w:p>
                  <w:pPr>
                    <w:pStyle w:val="Compact"/>
                    <w:jc w:val="center"/>
                    <w:jc w:val="center"/>
                  </w:pPr>
                  <w:r>
                    <w:t xml:space="preserve">8-14°C</w:t>
                  </w:r>
                </w:p>
              </w:tc>
            </w:tr>
            <w:tr>
              <w:tc>
                <w:tcPr/>
                <w:p>
                  <w:pPr>
                    <w:pStyle w:val="Compact"/>
                    <w:jc w:val="left"/>
                    <w:jc w:val="center"/>
                  </w:pPr>
                  <w:r>
                    <w:t xml:space="preserve">Salinity range</w:t>
                  </w:r>
                </w:p>
              </w:tc>
              <w:tc>
                <w:tcPr/>
                <w:p>
                  <w:pPr>
                    <w:pStyle w:val="Compact"/>
                    <w:jc w:val="center"/>
                    <w:jc w:val="center"/>
                  </w:pPr>
                  <w:r>
                    <w:t xml:space="preserve">30-32 PSU</w:t>
                  </w:r>
                </w:p>
              </w:tc>
              <w:tc>
                <w:tcPr/>
                <w:p>
                  <w:pPr>
                    <w:pStyle w:val="Compact"/>
                    <w:jc w:val="center"/>
                    <w:jc w:val="center"/>
                  </w:pPr>
                  <w:r>
                    <w:t xml:space="preserve">28-31 PSU</w:t>
                  </w:r>
                </w:p>
              </w:tc>
            </w:tr>
            <w:tr>
              <w:tc>
                <w:tcPr/>
                <w:p>
                  <w:pPr>
                    <w:pStyle w:val="Compact"/>
                    <w:jc w:val="left"/>
                    <w:jc w:val="center"/>
                  </w:pPr>
                  <w:r>
                    <w:t xml:space="preserve">Water depth</w:t>
                  </w:r>
                </w:p>
              </w:tc>
              <w:tc>
                <w:tcPr/>
                <w:p>
                  <w:pPr>
                    <w:pStyle w:val="Compact"/>
                    <w:jc w:val="center"/>
                    <w:jc w:val="center"/>
                  </w:pPr>
                  <w:r>
                    <w:t xml:space="preserve">5-15m</w:t>
                  </w:r>
                </w:p>
              </w:tc>
              <w:tc>
                <w:tcPr/>
                <w:p>
                  <w:pPr>
                    <w:pStyle w:val="Compact"/>
                    <w:jc w:val="center"/>
                    <w:jc w:val="center"/>
                  </w:pPr>
                  <w:r>
                    <w:t xml:space="preserve">8-20m</w:t>
                  </w:r>
                </w:p>
              </w:tc>
            </w:tr>
            <w:tr>
              <w:tc>
                <w:tcPr/>
                <w:p>
                  <w:pPr>
                    <w:pStyle w:val="Compact"/>
                    <w:jc w:val="left"/>
                    <w:jc w:val="center"/>
                  </w:pPr>
                  <w:r>
                    <w:t xml:space="preserve">Aquaculture intensity</w:t>
                  </w:r>
                </w:p>
              </w:tc>
              <w:tc>
                <w:tcPr/>
                <w:p>
                  <w:pPr>
                    <w:pStyle w:val="Compact"/>
                    <w:jc w:val="center"/>
                    <w:jc w:val="center"/>
                  </w:pPr>
                  <w:r>
                    <w:t xml:space="preserve">Moderate</w:t>
                  </w:r>
                </w:p>
              </w:tc>
              <w:tc>
                <w:tcPr/>
                <w:p>
                  <w:pPr>
                    <w:pStyle w:val="Compact"/>
                    <w:jc w:val="center"/>
                    <w:jc w:val="center"/>
                  </w:pPr>
                  <w:r>
                    <w:t xml:space="preserve">High</w:t>
                  </w:r>
                </w:p>
              </w:tc>
            </w:tr>
            <w:tr>
              <w:tc>
                <w:tcPr/>
                <w:p>
                  <w:pPr>
                    <w:pStyle w:val="Compact"/>
                    <w:jc w:val="left"/>
                    <w:jc w:val="center"/>
                  </w:pPr>
                  <w:r>
                    <w:t xml:space="preserve">Oxygenation levels</w:t>
                  </w:r>
                </w:p>
              </w:tc>
              <w:tc>
                <w:tcPr/>
                <w:p>
                  <w:pPr>
                    <w:pStyle w:val="Compact"/>
                    <w:jc w:val="center"/>
                    <w:jc w:val="center"/>
                  </w:pPr>
                  <w:r>
                    <w:t xml:space="preserve">Variable</w:t>
                  </w:r>
                </w:p>
              </w:tc>
              <w:tc>
                <w:tcPr/>
                <w:p>
                  <w:pPr>
                    <w:pStyle w:val="Compact"/>
                    <w:jc w:val="center"/>
                    <w:jc w:val="center"/>
                  </w:pPr>
                  <w:r>
                    <w:t xml:space="preserve">Lower</w:t>
                  </w:r>
                </w:p>
              </w:tc>
            </w:tr>
            <w:tr>
              <w:tc>
                <w:tcPr/>
                <w:p>
                  <w:pPr>
                    <w:pStyle w:val="Compact"/>
                    <w:jc w:val="left"/>
                    <w:jc w:val="center"/>
                  </w:pPr>
                  <w:r>
                    <w:t xml:space="preserve">Primary environmental pressures</w:t>
                  </w:r>
                </w:p>
              </w:tc>
              <w:tc>
                <w:tcPr/>
                <w:p>
                  <w:pPr>
                    <w:pStyle w:val="Compact"/>
                    <w:jc w:val="center"/>
                    <w:jc w:val="center"/>
                  </w:pPr>
                  <w:r>
                    <w:t xml:space="preserve">Seasonal temperature fluctuations, moderate aquaculture</w:t>
                  </w:r>
                </w:p>
              </w:tc>
              <w:tc>
                <w:tcPr/>
                <w:p>
                  <w:pPr>
                    <w:pStyle w:val="Compact"/>
                    <w:jc w:val="center"/>
                    <w:jc w:val="center"/>
                  </w:pPr>
                  <w:r>
                    <w:t xml:space="preserve">Cold water influence, high aquaculture density</w:t>
                  </w:r>
                </w:p>
              </w:tc>
            </w:tr>
            <w:tr>
              <w:tc>
                <w:tcPr/>
                <w:p>
                  <w:pPr>
                    <w:pStyle w:val="Compact"/>
                    <w:jc w:val="left"/>
                    <w:jc w:val="center"/>
                  </w:pPr>
                  <w:r>
                    <w:t xml:space="preserve">Population connectivity</w:t>
                  </w:r>
                </w:p>
              </w:tc>
              <w:tc>
                <w:tcPr/>
                <w:p>
                  <w:pPr>
                    <w:pStyle w:val="Compact"/>
                    <w:jc w:val="center"/>
                    <w:jc w:val="center"/>
                  </w:pPr>
                  <w:r>
                    <w:t xml:space="preserve">High larval connectivity</w:t>
                  </w:r>
                </w:p>
              </w:tc>
              <w:tc>
                <w:tcPr/>
                <w:p>
                  <w:pPr>
                    <w:pStyle w:val="Compact"/>
                    <w:jc w:val="center"/>
                    <w:jc w:val="center"/>
                  </w:pPr>
                  <w:r>
                    <w:t xml:space="preserve">High larval connectivity</w:t>
                  </w:r>
                </w:p>
              </w:tc>
            </w:tr>
          </w:tbl>
          <w:bookmarkEnd w:id="26"/>
          <w:p/>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7"/>
    <w:bookmarkStart w:id="31"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8"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8"/>
    <w:bookmarkStart w:id="30"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9"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9"/>
    <w:bookmarkEnd w:id="30"/>
    <w:bookmarkEnd w:id="31"/>
    <w:bookmarkStart w:id="68"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bookmarkStart w:id="36" w:name="cell-fig-dml-chromosome"/>
    <w:tbl>
      <w:tblPr>
        <w:tblStyle w:val="Table"/>
        <w:tblW w:type="pct" w:w="5000"/>
        <w:tblLayout w:type="fixed"/>
        <w:tblLook w:firstRow="0" w:lastRow="0" w:firstColumn="0" w:lastColumn="0" w:noHBand="0" w:noVBand="0" w:val="0000"/>
      </w:tblPr>
      <w:tblGrid>
        <w:gridCol w:w="7920"/>
      </w:tblGrid>
      <w:tr>
        <w:tc>
          <w:tcPr/>
          <w:bookmarkStart w:id="35" w:name="fig-dml-chromosome"/>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dml-chromosome-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left"/>
              <w:spacing w:before="200"/>
              <w:pStyle w:val="ImageCaption"/>
            </w:pPr>
            <w:r>
              <w:t xml:space="preserve">Figure 2: Distribution of differentially methylated loci (DMLs) across chromosomes. Each bar represents the count of DMLs for a specific chromosome, with colors indicating whether loci are hypermethylated (higher in Yaldad) or hypomethylated (lower in Yaldad).</w:t>
            </w:r>
          </w:p>
          <w:bookmarkEnd w:id="35"/>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36"/>
    <w:bookmarkStart w:id="42" w:name="chromosome-wide-distribution-of-dmls"/>
    <w:p>
      <w:pPr>
        <w:pStyle w:val="Heading2"/>
      </w:pPr>
      <w:r>
        <w:t xml:space="preserve">Chromosome-wide Distribution of DMLs</w:t>
      </w:r>
    </w:p>
    <w:p>
      <w:pPr>
        <w:pStyle w:val="FirstParagraph"/>
      </w:pPr>
      <w:r>
        <w:t xml:space="preserve">To visualize the spatial distribution of differentially methylated loci across the genome, we created a comprehensive plot showing all chromosomes and the precise locations of DMLs within each chromosome. This visualization reveals the genomic landscape of epigenetic variation and identifies potential hotspots of methylation change.</w:t>
      </w:r>
    </w:p>
    <w:bookmarkStart w:id="41" w:name="cell-fig-dml-genome-wide"/>
    <w:tbl>
      <w:tblPr>
        <w:tblStyle w:val="Table"/>
        <w:tblW w:type="pct" w:w="5000"/>
        <w:tblLayout w:type="fixed"/>
        <w:tblLook w:firstRow="0" w:lastRow="0" w:firstColumn="0" w:lastColumn="0" w:noHBand="0" w:noVBand="0" w:val="0000"/>
      </w:tblPr>
      <w:tblGrid>
        <w:gridCol w:w="7920"/>
      </w:tblGrid>
      <w:tr>
        <w:tc>
          <w:tcPr/>
          <w:bookmarkStart w:id="40" w:name="fig-dml-genome-wide"/>
          <w:p>
            <w:pPr>
              <w:pStyle w:val="Compact"/>
              <w:jc w:val="center"/>
            </w:pPr>
            <w:r>
              <w:drawing>
                <wp:inline>
                  <wp:extent cx="5334000" cy="4267200"/>
                  <wp:effectExtent b="0" l="0" r="0" t="0"/>
                  <wp:docPr descr="" title="" id="38" name="Picture"/>
                  <a:graphic>
                    <a:graphicData uri="http://schemas.openxmlformats.org/drawingml/2006/picture">
                      <pic:pic>
                        <pic:nvPicPr>
                          <pic:cNvPr descr="index_files/figure-docx/fig-dml-genome-wide-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left"/>
              <w:spacing w:before="200"/>
              <w:pStyle w:val="ImageCaption"/>
            </w:pPr>
            <w:r>
              <w:t xml:space="preserve">Figure 3: Distribution of differentially methylated loci (DMLs) across all chromosomes. Each point represents a DML positioned by its genomic coordinates. Red points indicate hypermethylated loci (higher methylation in Yaldad), while blue points show hypomethylated loci (lower methylation in Yaldad). Chromosomes are arranged vertically with genomic position (in base pairs) on the x-axis.</w:t>
            </w:r>
          </w:p>
          <w:bookmarkEnd w:id="40"/>
        </w:tc>
      </w:tr>
    </w:tbl>
    <w:p>
      <w:pPr>
        <w:pStyle w:val="BodyText"/>
      </w:pPr>
      <w:r>
        <w:rPr>
          <w:vertAlign w:val="subscript"/>
        </w:rPr>
        <w:t xml:space="preserve">Source:</w:t>
      </w:r>
      <w:r>
        <w:rPr>
          <w:vertAlign w:val="subscript"/>
        </w:rPr>
        <w:t xml:space="preserve"> </w:t>
      </w:r>
      <w:hyperlink r:id="rId24">
        <w:r>
          <w:rPr>
            <w:rStyle w:val="Hyperlink"/>
            <w:vertAlign w:val="subscript"/>
          </w:rPr>
          <w:t xml:space="preserve">Article Notebook</w:t>
        </w:r>
      </w:hyperlink>
    </w:p>
    <w:bookmarkEnd w:id="41"/>
    <w:bookmarkEnd w:id="42"/>
    <w:bookmarkStart w:id="46" w:name="location"/>
    <w:p>
      <w:pPr>
        <w:pStyle w:val="Heading2"/>
      </w:pPr>
      <w:r>
        <w:t xml:space="preserve">Location</w:t>
      </w:r>
    </w:p>
    <w:p>
      <w:pPr>
        <w:pStyle w:val="CaptionedFigure"/>
      </w:pPr>
      <w:r>
        <w:drawing>
          <wp:inline>
            <wp:extent cx="5334000" cy="3834520"/>
            <wp:effectExtent b="0" l="0" r="0" t="0"/>
            <wp:docPr descr="heatmap" title="" id="44" name="Picture"/>
            <a:graphic>
              <a:graphicData uri="http://schemas.openxmlformats.org/drawingml/2006/picture">
                <pic:pic>
                  <pic:nvPicPr>
                    <pic:cNvPr descr="images/dml-heatmap.png" id="45" name="Picture"/>
                    <pic:cNvPicPr>
                      <a:picLocks noChangeArrowheads="1" noChangeAspect="1"/>
                    </pic:cNvPicPr>
                  </pic:nvPicPr>
                  <pic:blipFill>
                    <a:blip r:embed="rId43"/>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46"/>
    <w:bookmarkStart w:id="47"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47"/>
    <w:bookmarkStart w:id="48"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48"/>
    <w:bookmarkStart w:id="49"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49"/>
    <w:bookmarkStart w:id="50"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50"/>
    <w:bookmarkStart w:id="51"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51"/>
    <w:bookmarkStart w:id="67"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66" w:name="refs"/>
    <w:bookmarkStart w:id="53"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52">
        <w:r>
          <w:rPr>
            <w:rStyle w:val="Hyperlink"/>
          </w:rPr>
          <w:t xml:space="preserve">https://doi.org/10.1016/j.fsi.2017.08.047</w:t>
        </w:r>
      </w:hyperlink>
      <w:r>
        <w:t xml:space="preserve">.</w:t>
      </w:r>
    </w:p>
    <w:bookmarkEnd w:id="53"/>
    <w:bookmarkStart w:id="55"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54">
        <w:r>
          <w:rPr>
            <w:rStyle w:val="Hyperlink"/>
          </w:rPr>
          <w:t xml:space="preserve">https://doi.org/10.3390/microorganisms13040825</w:t>
        </w:r>
      </w:hyperlink>
      <w:r>
        <w:t xml:space="preserve">.</w:t>
      </w:r>
    </w:p>
    <w:bookmarkEnd w:id="55"/>
    <w:bookmarkStart w:id="57"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56">
        <w:r>
          <w:rPr>
            <w:rStyle w:val="Hyperlink"/>
          </w:rPr>
          <w:t xml:space="preserve">https://doi.org/10.3390/genes15060658</w:t>
        </w:r>
      </w:hyperlink>
      <w:r>
        <w:t xml:space="preserve">.</w:t>
      </w:r>
    </w:p>
    <w:bookmarkEnd w:id="57"/>
    <w:bookmarkStart w:id="59"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58">
        <w:r>
          <w:rPr>
            <w:rStyle w:val="Hyperlink"/>
          </w:rPr>
          <w:t xml:space="preserve">https://doi.org/10.3390/ijms26030931</w:t>
        </w:r>
      </w:hyperlink>
      <w:r>
        <w:t xml:space="preserve">.</w:t>
      </w:r>
    </w:p>
    <w:bookmarkEnd w:id="59"/>
    <w:bookmarkStart w:id="61"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60">
        <w:r>
          <w:rPr>
            <w:rStyle w:val="Hyperlink"/>
          </w:rPr>
          <w:t xml:space="preserve">https://doi.org/10.1016/j.heliyon.2023.e23695</w:t>
        </w:r>
      </w:hyperlink>
      <w:r>
        <w:t xml:space="preserve">.</w:t>
      </w:r>
    </w:p>
    <w:bookmarkEnd w:id="61"/>
    <w:bookmarkStart w:id="63"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62">
        <w:r>
          <w:rPr>
            <w:rStyle w:val="Hyperlink"/>
          </w:rPr>
          <w:t xml:space="preserve">https://doi.org/10.3389/fgene.2021.666539</w:t>
        </w:r>
      </w:hyperlink>
      <w:r>
        <w:t xml:space="preserve">.</w:t>
      </w:r>
    </w:p>
    <w:bookmarkEnd w:id="63"/>
    <w:bookmarkStart w:id="65"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64">
        <w:r>
          <w:rPr>
            <w:rStyle w:val="Hyperlink"/>
          </w:rPr>
          <w:t xml:space="preserve">https://doi.org/10.1016/j.cbd.2021.100955</w:t>
        </w:r>
      </w:hyperlink>
      <w:r>
        <w:t xml:space="preserve">.</w:t>
      </w:r>
    </w:p>
    <w:bookmarkEnd w:id="65"/>
    <w:bookmarkEnd w:id="66"/>
    <w:bookmarkEnd w:id="67"/>
    <w:bookmarkEnd w:id="6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20" Target="media/rId20.png" /><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16/j.cbd.2021.100955" TargetMode="External" /><Relationship Type="http://schemas.openxmlformats.org/officeDocument/2006/relationships/hyperlink" Id="rId52" Target="https://doi.org/10.1016/j.fsi.2017.08.047" TargetMode="External" /><Relationship Type="http://schemas.openxmlformats.org/officeDocument/2006/relationships/hyperlink" Id="rId60" Target="https://doi.org/10.1016/j.heliyon.2023.e23695" TargetMode="External" /><Relationship Type="http://schemas.openxmlformats.org/officeDocument/2006/relationships/hyperlink" Id="rId62" Target="https://doi.org/10.3389/fgene.2021.666539" TargetMode="External" /><Relationship Type="http://schemas.openxmlformats.org/officeDocument/2006/relationships/hyperlink" Id="rId56" Target="https://doi.org/10.3390/genes15060658" TargetMode="External" /><Relationship Type="http://schemas.openxmlformats.org/officeDocument/2006/relationships/hyperlink" Id="rId58" Target="https://doi.org/10.3390/ijms26030931" TargetMode="External" /><Relationship Type="http://schemas.openxmlformats.org/officeDocument/2006/relationships/hyperlink" Id="rId54" Target="https://doi.org/10.3390/microorganisms13040825" TargetMode="External" /><Relationship Type="http://schemas.openxmlformats.org/officeDocument/2006/relationships/hyperlink" Id="rId24"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2025-08-13T19:53:55Z</dcterms:created>
  <dcterms:modified xsi:type="dcterms:W3CDTF">2025-08-13T19:53:55Z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