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chilensis</w:t>
      </w:r>
    </w:p>
    <w:p>
      <w:pPr>
        <w:pStyle w:val="Subtitle"/>
      </w:pPr>
      <w:r>
        <w:t xml:space="preserve">Epigenetic mechanisms of local adaptation</w:t>
      </w:r>
    </w:p>
    <w:p>
      <w:pPr>
        <w:pStyle w:val="Date"/>
      </w:pPr>
      <w:r>
        <w:t xml:space="preserve">2025-08-12</w:t>
      </w:r>
    </w:p>
    <w:p>
      <w:pPr>
        <w:pStyle w:val="AbstractTitle"/>
      </w:pPr>
      <w:r>
        <w:t xml:space="preserve">Abstract</w:t>
      </w:r>
    </w:p>
    <w:p>
      <w:pPr>
        <w:pStyle w:val="Abstract"/>
      </w:pPr>
      <w:r>
        <w:t xml:space="preserve">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45"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w:t>
      </w:r>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23" w:name="methods"/>
    <w:p>
      <w:pPr>
        <w:pStyle w:val="Heading2"/>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0" w:name="read-processing-and-alignment"/>
    <w:p>
      <w:pPr>
        <w:pStyle w:val="Heading3"/>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0"/>
    <w:bookmarkStart w:id="21" w:name="Xe31014373c419e768cc4a6853c79835028096f0"/>
    <w:p>
      <w:pPr>
        <w:pStyle w:val="Heading3"/>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End w:id="21"/>
    <w:bookmarkStart w:id="22"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End w:id="22"/>
    <w:bookmarkEnd w:id="23"/>
    <w:bookmarkStart w:id="44" w:name="results"/>
    <w:p>
      <w:pPr>
        <w:pStyle w:val="Heading2"/>
      </w:pPr>
      <w:r>
        <w:t xml:space="preserve">Results</w:t>
      </w:r>
    </w:p>
    <w:p>
      <w:pPr>
        <w:pStyle w:val="FirstParagraph"/>
      </w:pPr>
      <w:r>
        <w:t xml:space="preserve">Bisulfite sequencing across six libraries yielded approximately 99.8 million reads per sample. Alignment to the reference genome was successful for 60.5–61.4% of reads, with 22–24% unaligned and 15–16% aligning ambiguously. After removal of duplicate reads (2.2–3.5 million per sample), 57.0–58.8 million uniquely aligned reads remained for methylation analysis.</w:t>
      </w:r>
    </w:p>
    <w:p>
      <w:pPr>
        <w:pStyle w:val="BodyText"/>
      </w:pPr>
      <w:r>
        <w:t xml:space="preserve">Genome-wide cytosine methylation was assessed in CpG, CHG, and CHH contexts. Across samples, ~2.1–2.2 billion cytosines were examined. CpG methylation was the most prominent, with an average of ~36 million methylated CpGs and ~205 million unmethylated CpGs per sample, corresponding to a methylation rate of approximately 15%. In contrast, CHG and CHH methylation was much lower, with methylation levels below 1% in both contexts. These patterns are consistent with expectations for invertebrate methylomes, where methylation is primarily restricted to CpG sites.</w:t>
      </w:r>
    </w:p>
    <w:p>
      <w:pPr>
        <w:pStyle w:val="BodyText"/>
      </w:pPr>
      <w:r>
        <w:drawing>
          <wp:inline>
            <wp:extent cx="5334000" cy="4267200"/>
            <wp:effectExtent b="0" l="0" r="0" t="0"/>
            <wp:docPr descr="" title="" id="25" name="Picture"/>
            <a:graphic>
              <a:graphicData uri="http://schemas.openxmlformats.org/drawingml/2006/picture">
                <pic:pic>
                  <pic:nvPicPr>
                    <pic:cNvPr descr="index_files/figure-docx/unnamed-chunk-1-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Start w:id="43" w:name="location"/>
    <w:p>
      <w:pPr>
        <w:pStyle w:val="Heading3"/>
      </w:pPr>
      <w:r>
        <w:t xml:space="preserve">Location</w:t>
      </w:r>
    </w:p>
    <w:p>
      <w:pPr>
        <w:pStyle w:val="FirstParagraph"/>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Start w:id="42" w:name="refs"/>
    <w:bookmarkStart w:id="29"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28">
        <w:r>
          <w:rPr>
            <w:rStyle w:val="Hyperlink"/>
          </w:rPr>
          <w:t xml:space="preserve">https://doi.org/10.1016/j.fsi.2017.08.047</w:t>
        </w:r>
      </w:hyperlink>
      <w:r>
        <w:t xml:space="preserve">.</w:t>
      </w:r>
    </w:p>
    <w:bookmarkEnd w:id="29"/>
    <w:bookmarkStart w:id="31"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30">
        <w:r>
          <w:rPr>
            <w:rStyle w:val="Hyperlink"/>
          </w:rPr>
          <w:t xml:space="preserve">https://doi.org/10.3390/microorganisms13040825</w:t>
        </w:r>
      </w:hyperlink>
      <w:r>
        <w:t xml:space="preserve">.</w:t>
      </w:r>
    </w:p>
    <w:bookmarkEnd w:id="31"/>
    <w:bookmarkStart w:id="33"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32">
        <w:r>
          <w:rPr>
            <w:rStyle w:val="Hyperlink"/>
          </w:rPr>
          <w:t xml:space="preserve">https://doi.org/10.3390/genes15060658</w:t>
        </w:r>
      </w:hyperlink>
      <w:r>
        <w:t xml:space="preserve">.</w:t>
      </w:r>
    </w:p>
    <w:bookmarkEnd w:id="33"/>
    <w:bookmarkStart w:id="35"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34">
        <w:r>
          <w:rPr>
            <w:rStyle w:val="Hyperlink"/>
          </w:rPr>
          <w:t xml:space="preserve">https://doi.org/10.3390/ijms26030931</w:t>
        </w:r>
      </w:hyperlink>
      <w:r>
        <w:t xml:space="preserve">.</w:t>
      </w:r>
    </w:p>
    <w:bookmarkEnd w:id="35"/>
    <w:bookmarkStart w:id="37"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36">
        <w:r>
          <w:rPr>
            <w:rStyle w:val="Hyperlink"/>
          </w:rPr>
          <w:t xml:space="preserve">https://doi.org/10.1016/j.heliyon.2023.e23695</w:t>
        </w:r>
      </w:hyperlink>
      <w:r>
        <w:t xml:space="preserve">.</w:t>
      </w:r>
    </w:p>
    <w:bookmarkEnd w:id="37"/>
    <w:bookmarkStart w:id="39"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38">
        <w:r>
          <w:rPr>
            <w:rStyle w:val="Hyperlink"/>
          </w:rPr>
          <w:t xml:space="preserve">https://doi.org/10.3389/fgene.2021.666539</w:t>
        </w:r>
      </w:hyperlink>
      <w:r>
        <w:t xml:space="preserve">.</w:t>
      </w:r>
    </w:p>
    <w:bookmarkEnd w:id="39"/>
    <w:bookmarkStart w:id="41"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40">
        <w:r>
          <w:rPr>
            <w:rStyle w:val="Hyperlink"/>
          </w:rPr>
          <w:t xml:space="preserve">https://doi.org/10.1016/j.cbd.2021.100955</w:t>
        </w:r>
      </w:hyperlink>
      <w:r>
        <w:t xml:space="preserve">.</w:t>
      </w:r>
    </w:p>
    <w:bookmarkEnd w:id="41"/>
    <w:bookmarkEnd w:id="42"/>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0" Target="https://doi.org/10.1016/j.cbd.2021.100955" TargetMode="External" /><Relationship Type="http://schemas.openxmlformats.org/officeDocument/2006/relationships/hyperlink" Id="rId28" Target="https://doi.org/10.1016/j.fsi.2017.08.047" TargetMode="External" /><Relationship Type="http://schemas.openxmlformats.org/officeDocument/2006/relationships/hyperlink" Id="rId36" Target="https://doi.org/10.1016/j.heliyon.2023.e23695" TargetMode="External" /><Relationship Type="http://schemas.openxmlformats.org/officeDocument/2006/relationships/hyperlink" Id="rId38" Target="https://doi.org/10.3389/fgene.2021.666539" TargetMode="External" /><Relationship Type="http://schemas.openxmlformats.org/officeDocument/2006/relationships/hyperlink" Id="rId32" Target="https://doi.org/10.3390/genes15060658" TargetMode="External" /><Relationship Type="http://schemas.openxmlformats.org/officeDocument/2006/relationships/hyperlink" Id="rId34" Target="https://doi.org/10.3390/ijms26030931" TargetMode="External" /><Relationship Type="http://schemas.openxmlformats.org/officeDocument/2006/relationships/hyperlink" Id="rId30" Target="https://doi.org/10.3390/microorganisms13040825" TargetMode="External" /><Relationship Type="http://schemas.openxmlformats.org/officeDocument/2006/relationships/hyperlink" Id="rId27" Target="https://sr320.github.io/paper-chilean-mussel/index-preview.html"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16/j.cbd.2021.100955" TargetMode="External" /><Relationship Type="http://schemas.openxmlformats.org/officeDocument/2006/relationships/hyperlink" Id="rId28" Target="https://doi.org/10.1016/j.fsi.2017.08.047" TargetMode="External" /><Relationship Type="http://schemas.openxmlformats.org/officeDocument/2006/relationships/hyperlink" Id="rId36" Target="https://doi.org/10.1016/j.heliyon.2023.e23695" TargetMode="External" /><Relationship Type="http://schemas.openxmlformats.org/officeDocument/2006/relationships/hyperlink" Id="rId38" Target="https://doi.org/10.3389/fgene.2021.666539" TargetMode="External" /><Relationship Type="http://schemas.openxmlformats.org/officeDocument/2006/relationships/hyperlink" Id="rId32" Target="https://doi.org/10.3390/genes15060658" TargetMode="External" /><Relationship Type="http://schemas.openxmlformats.org/officeDocument/2006/relationships/hyperlink" Id="rId34" Target="https://doi.org/10.3390/ijms26030931" TargetMode="External" /><Relationship Type="http://schemas.openxmlformats.org/officeDocument/2006/relationships/hyperlink" Id="rId30" Target="https://doi.org/10.3390/microorganisms13040825" TargetMode="External" /><Relationship Type="http://schemas.openxmlformats.org/officeDocument/2006/relationships/hyperlink" Id="rId27" Target="https://sr320.github.io/paper-chilean-mussel/index-pre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chilensis</dc:title>
  <dc:creator/>
  <cp:keywords>DNA methylation, Mytilus chilensis, epigenetics, adaptation, aquaculture</cp:keywords>
  <dcterms:created xsi:type="dcterms:W3CDTF">2025-08-13T05:11:13Z</dcterms:created>
  <dcterms:modified xsi:type="dcterms:W3CDTF">2025-08-13T05:11:13Z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2025-08-12</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explores how DNA methylation may help Chilean blue mussels adapt to different environments, providing insights for aquaculture and conservation.</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Epigenetic mechanisms of local adaptation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y fmtid="{D5CDD505-2E9C-101B-9397-08002B2CF9AE}" pid="29" name="version">
    <vt:lpwstr>1.0</vt:lpwstr>
  </property>
</Properties>
</file>