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w:t>
      </w:r>
      <w:r>
        <w:rPr>
          <w:b/>
          <w:bCs/>
        </w:rPr>
        <w:t xml:space="preserve">yevenes2021adaptive?</w:t>
      </w:r>
      <w:r>
        <w:t xml:space="preserve">;</w:t>
      </w:r>
      <w:r>
        <w:t xml:space="preserve"> </w:t>
      </w:r>
      <w:r>
        <w:rPr>
          <w:b/>
          <w:bCs/>
        </w:rPr>
        <w:t xml:space="preserve">yevenes2022adaptive?</w:t>
      </w:r>
      <w:r>
        <w:t xml:space="preserve">)</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w:t>
      </w:r>
      <w:r>
        <w:rPr>
          <w:b/>
          <w:bCs/>
        </w:rPr>
        <w:t xml:space="preserve">yevenes2025decoding?</w:t>
      </w:r>
      <w:r>
        <w:t xml:space="preserve">)</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w:t>
      </w:r>
      <w:r>
        <w:rPr>
          <w:b/>
          <w:bCs/>
        </w:rPr>
        <w:t xml:space="preserve">yevenes2023epigenetic?</w:t>
      </w:r>
      <w:r>
        <w:t xml:space="preserve">)</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w:t>
      </w:r>
      <w:r>
        <w:rPr>
          <w:b/>
          <w:bCs/>
        </w:rPr>
        <w:t xml:space="preserve">montufar2024hypoxia?</w:t>
      </w:r>
      <w:r>
        <w:t xml:space="preserve">;</w:t>
      </w:r>
      <w:r>
        <w:t xml:space="preserve"> </w:t>
      </w:r>
      <w:r>
        <w:rPr>
          <w:b/>
          <w:bCs/>
        </w:rPr>
        <w:t xml:space="preserve">castillo2017ocean?</w:t>
      </w:r>
      <w:r>
        <w:t xml:space="preserve">;</w:t>
      </w:r>
      <w:r>
        <w:t xml:space="preserve"> </w:t>
      </w:r>
      <w:r>
        <w:rPr>
          <w:b/>
          <w:bCs/>
        </w:rPr>
        <w:t xml:space="preserve">montufar2025microbiota?</w:t>
      </w:r>
      <w:r>
        <w:t xml:space="preserve">)</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2025-08-13T03:36:52Z</dcterms:created>
  <dcterms:modified xsi:type="dcterms:W3CDTF">2025-08-13T03:36:52Z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