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w:t>
      </w:r>
    </w:p>
    <w:bookmarkStart w:id="20"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End w:id="20"/>
    <w:bookmarkStart w:id="24" w:name="methods"/>
    <w:p>
      <w:pPr>
        <w:pStyle w:val="Heading1"/>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1" w:name="read-processing-and-alignment"/>
    <w:p>
      <w:pPr>
        <w:pStyle w:val="Heading2"/>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1"/>
    <w:bookmarkStart w:id="23" w:name="Xe31014373c419e768cc4a6853c79835028096f0"/>
    <w:p>
      <w:pPr>
        <w:pStyle w:val="Heading2"/>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End w:id="24"/>
    <w:bookmarkStart w:id="58" w:name="results"/>
    <w:p>
      <w:pPr>
        <w:pStyle w:val="Heading1"/>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t xml:space="preserve">In total, 1117 differentially methylated loci (DMLs) were identified (see Methods and Supplementary Data). These DMLs were distributed across all chromosomes and classified as either hypomethylated or hypermethylated based on methylation difference.</w:t>
      </w:r>
    </w:p>
    <w:p>
      <w:pPr>
        <w:pStyle w:val="BodyText"/>
      </w:pPr>
      <w:r>
        <w:drawing>
          <wp:inline>
            <wp:extent cx="5334000" cy="4267200"/>
            <wp:effectExtent b="0" l="0" r="0" t="0"/>
            <wp:docPr descr="" title="" id="26" name="Picture"/>
            <a:graphic>
              <a:graphicData uri="http://schemas.openxmlformats.org/drawingml/2006/picture">
                <pic:pic>
                  <pic:nvPicPr>
                    <pic:cNvPr descr="index_files/figure-docx/unnamed-chunk-1-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Start w:id="32" w:name="chromosome-wide-distribution-of-dmls"/>
    <w:p>
      <w:pPr>
        <w:pStyle w:val="Heading2"/>
      </w:pPr>
      <w:r>
        <w:t xml:space="preserve">Chromosome-wide Distribution of DMLs</w:t>
      </w:r>
    </w:p>
    <w:p>
      <w:pPr>
        <w:pStyle w:val="FirstParagraph"/>
      </w:pPr>
      <w:r>
        <w:t xml:space="preserve">To visualize the spatial distribution of differentially methylated loci across the genome, we created a comprehensive plot showing all chromosomes and the precise locations of DMLs within each chromosome. This visualization reveals the genomic landscape of epigenetic variation and identifies potential hotspots of methylation change.</w:t>
      </w:r>
    </w:p>
    <w:p>
      <w:pPr>
        <w:pStyle w:val="CaptionedFigure"/>
      </w:pPr>
      <w:r>
        <w:drawing>
          <wp:inline>
            <wp:extent cx="5334000" cy="4267200"/>
            <wp:effectExtent b="0" l="0" r="0" t="0"/>
            <wp:docPr descr="Distribution of differentially methylated loci (DMLs) across all chromosomes. Each point represents a DML positioned by its genomic coordinates. Red points indicate hypermethylated loci (higher methylation in Yaldad), while blue points show hypomethylated loci (lower methylation in Yaldad). Chromosomes are arranged vertically with genomic position (in base pairs) on the x-axis." title="" id="30" name="Picture"/>
            <a:graphic>
              <a:graphicData uri="http://schemas.openxmlformats.org/drawingml/2006/picture">
                <pic:pic>
                  <pic:nvPicPr>
                    <pic:cNvPr descr="index_files/figure-docx/unnamed-chunk-2-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Distribution of differentially methylated loci (DMLs) across all chromosomes. Each point represents a DML positioned by its genomic coordinates. Red points indicate hypermethylated loci (higher methylation in Yaldad), while blue points show hypomethylated loci (lower methylation in Yaldad). Chromosomes are arranged vertically with genomic position (in base pairs) on the x-axis.</w:t>
      </w:r>
    </w:p>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End w:id="32"/>
    <w:bookmarkStart w:id="36" w:name="location"/>
    <w:p>
      <w:pPr>
        <w:pStyle w:val="Heading2"/>
      </w:pPr>
      <w:r>
        <w:t xml:space="preserve">Location</w:t>
      </w:r>
    </w:p>
    <w:p>
      <w:pPr>
        <w:pStyle w:val="CaptionedFigure"/>
      </w:pPr>
      <w:r>
        <w:drawing>
          <wp:inline>
            <wp:extent cx="5334000" cy="3834520"/>
            <wp:effectExtent b="0" l="0" r="0" t="0"/>
            <wp:docPr descr="heatmap" title="" id="34" name="Picture"/>
            <a:graphic>
              <a:graphicData uri="http://schemas.openxmlformats.org/drawingml/2006/picture">
                <pic:pic>
                  <pic:nvPicPr>
                    <pic:cNvPr descr="images/dml-heatmap.png" id="35" name="Picture"/>
                    <pic:cNvPicPr>
                      <a:picLocks noChangeArrowheads="1" noChangeAspect="1"/>
                    </pic:cNvPicPr>
                  </pic:nvPicPr>
                  <pic:blipFill>
                    <a:blip r:embed="rId33"/>
                    <a:stretch>
                      <a:fillRect/>
                    </a:stretch>
                  </pic:blipFill>
                  <pic:spPr bwMode="auto">
                    <a:xfrm>
                      <a:off x="0" y="0"/>
                      <a:ext cx="5334000" cy="3834520"/>
                    </a:xfrm>
                    <a:prstGeom prst="rect">
                      <a:avLst/>
                    </a:prstGeom>
                    <a:noFill/>
                    <a:ln w="9525">
                      <a:noFill/>
                      <a:headEnd/>
                      <a:tailEnd/>
                    </a:ln>
                  </pic:spPr>
                </pic:pic>
              </a:graphicData>
            </a:graphic>
          </wp:inline>
        </w:drawing>
      </w:r>
    </w:p>
    <w:p>
      <w:pPr>
        <w:pStyle w:val="ImageCaption"/>
      </w:pPr>
      <w:r>
        <w:t xml:space="preserve">heatmap</w:t>
      </w:r>
    </w:p>
    <w:bookmarkEnd w:id="36"/>
    <w:bookmarkStart w:id="37" w:name="X6377b248c0a07151ea4e90ac1e9acf6886d3895"/>
    <w:p>
      <w:pPr>
        <w:pStyle w:val="Heading2"/>
      </w:pPr>
      <w:r>
        <w:t xml:space="preserve">Genes harboring DMLs and overall methylation pattern</w:t>
      </w:r>
    </w:p>
    <w:p>
      <w:pPr>
        <w:pStyle w:val="FirstParagraph"/>
      </w:pPr>
      <w:r>
        <w:t xml:space="preserve">We identified 159 genes containing differentially methylated loci (DMLs). For each gene, methylation differences were calculated by aggregating the absolute methylation change at all DMLs mapped to that gene, using the output from methylKit’s logistic regression analysis. Summary statistics (range: −77.04% to +66.86%; SD 40.48%, median: −8.96%, mean: −0.68%) were computed across these gene-level aggregated values, indicating a shift toward hypomethylation among DML-associated genes.</w:t>
      </w:r>
    </w:p>
    <w:bookmarkEnd w:id="37"/>
    <w:bookmarkStart w:id="38" w:name="X79300d832de1f3e1ccdc02e513e91e44caaf951"/>
    <w:p>
      <w:pPr>
        <w:pStyle w:val="Heading2"/>
      </w:pPr>
      <w:r>
        <w:t xml:space="preserve">Gene Ontology (GO): processes, functions, and locations</w:t>
      </w:r>
    </w:p>
    <w:p>
      <w:pPr>
        <w:pStyle w:val="FirstParagraph"/>
      </w:pPr>
      <w:r>
        <w:t xml:space="preserve">Across Biological Process terms, DML genes were most frequently annotated to metabolic process (71 genes; 44.7% of all DML genes) and to high-level developmental and cellular organization/biogenesis categories (each 57 genes; 35.8%). Additional frequent terms included nitrogen compound metabolic process (63 genes; 39.6%) and positive regulation of biological process (57 genes; 35.8%). For Molecular Function, broad binding categories predominated (binding: 81 genes, 50.9%; protein binding: 58 genes, 36.5%), consistent with an overrepresentation of regulatory and interaction-prone proteins. Cellular Component assignments placed many targets in cell/intracellular compartments (cell: 104 genes, 65.4%; intracellular: 99 genes, 62.3%), with frequent localization to the cytoplasm (80 genes, 50.3%) and nucleus (53 genes, 33.3%)</w:t>
      </w:r>
    </w:p>
    <w:p>
      <w:pPr>
        <w:pStyle w:val="BodyText"/>
      </w:pPr>
      <w:r>
        <w:t xml:space="preserve">These patterns indicate that DMLs are concentrated in genes mediating metabolism, developmental programs, and cellular organization, with many targets residing in cytoplasmic and nuclear contexts where gene regulation and signal processing occur.</w:t>
      </w:r>
    </w:p>
    <w:bookmarkEnd w:id="38"/>
    <w:bookmarkStart w:id="39" w:name="kegg-pathways"/>
    <w:p>
      <w:pPr>
        <w:pStyle w:val="Heading2"/>
      </w:pPr>
      <w:r>
        <w:t xml:space="preserve">KEGG pathways</w:t>
      </w:r>
    </w:p>
    <w:p>
      <w:pPr>
        <w:pStyle w:val="FirstParagraph"/>
      </w:pPr>
      <w:r>
        <w:t xml:space="preserve">DML-associated genes mapped to 122 unique KEGG pathways, with most pathways represented by a single gene, reflecting broad functional dispersion rather than concentration in a small number of routes. Prominent pathway classes included amino acid, carbohydrate, lipid, and nucleotide metabolism, as well as signal transduction and cellular process categories. The prevalence of core metabolic routes aligns with the GO-based enrichment of metabolic processes and suggests potential epigenetic modulation of energy balance and biosynthesis.</w:t>
      </w:r>
    </w:p>
    <w:bookmarkEnd w:id="39"/>
    <w:bookmarkStart w:id="40" w:name="pfam-domains"/>
    <w:p>
      <w:pPr>
        <w:pStyle w:val="Heading2"/>
      </w:pPr>
      <w:r>
        <w:t xml:space="preserve">Pfam domains</w:t>
      </w:r>
    </w:p>
    <w:p>
      <w:pPr>
        <w:pStyle w:val="FirstParagraph"/>
      </w:pPr>
      <w:r>
        <w:t xml:space="preserve">We detected 118 unique Pfam domains among DML-associated genes, generally with low redundancy (most domains present in one or two genes), underscoring protein family diversity. Recurrently observed domains included the RNA recognition motif (PF00076)—implicating post-transcriptional regulation—alongside regulatory/interaction modules such as BTB/POZ (PF07707) and ankyrin repeats (PF00023). We also observed immunoglobulin domains (PF00047) and cytochrome P450 families (PF00061/ PF00067), the latter consistent with roles in xenobiotic and lipid metabolism. Several domains of unknown function (DUFs) were present, indicating potentially novel or poorly characterized targets of methylation.</w:t>
      </w:r>
    </w:p>
    <w:bookmarkEnd w:id="40"/>
    <w:bookmarkStart w:id="41" w:name="directionality-of-methylation-changes"/>
    <w:p>
      <w:pPr>
        <w:pStyle w:val="Heading2"/>
      </w:pPr>
      <w:r>
        <w:t xml:space="preserve">Directionality of methylation changes</w:t>
      </w:r>
    </w:p>
    <w:p>
      <w:pPr>
        <w:pStyle w:val="FirstParagraph"/>
      </w:pPr>
      <w:r>
        <w:t xml:space="preserve">Given the negative median methylation difference, hypomethylation was more common among DML genes. Functionally, hypomethylated targets were enriched for regulatory proteins, signaling molecules, and transporters, whereas hypermethylated targets included transcription factors, metabolic enzymes, and structural proteins. Collectively, these patterns are consistent with widespread epigenetic remodeling across regulatory and metabolic layers, rather than changes confined to a single pathway or compartment.</w:t>
      </w:r>
    </w:p>
    <w:bookmarkEnd w:id="41"/>
    <w:bookmarkStart w:id="57" w:name="summary"/>
    <w:p>
      <w:pPr>
        <w:pStyle w:val="Heading2"/>
      </w:pPr>
      <w:r>
        <w:t xml:space="preserve">Summary</w:t>
      </w:r>
    </w:p>
    <w:p>
      <w:pPr>
        <w:pStyle w:val="FirstParagraph"/>
      </w:pPr>
      <w:r>
        <w:t xml:space="preserve">Together, these results show that genes harboring DMLs in Mytilus chilensis are functionally diverse. However, they converge on metabolism, development, and cellular organization, with many targets positioned in cytoplasmic and nuclear environments. The distribution of DMLs is skewed toward hypomethylation. DML-associated genes are dispersed across many KEGG pathways and contain regulatory or interaction-rich Pfam domains. These findings suggest a system-wide epigenetic response with potential consequences for metabolic control and developmental programming.</w:t>
      </w:r>
    </w:p>
    <w:bookmarkStart w:id="56" w:name="refs"/>
    <w:bookmarkStart w:id="43"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42">
        <w:r>
          <w:rPr>
            <w:rStyle w:val="Hyperlink"/>
          </w:rPr>
          <w:t xml:space="preserve">https://doi.org/10.1016/j.fsi.2017.08.047</w:t>
        </w:r>
      </w:hyperlink>
      <w:r>
        <w:t xml:space="preserve">.</w:t>
      </w:r>
    </w:p>
    <w:bookmarkEnd w:id="43"/>
    <w:bookmarkStart w:id="45"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44">
        <w:r>
          <w:rPr>
            <w:rStyle w:val="Hyperlink"/>
          </w:rPr>
          <w:t xml:space="preserve">https://doi.org/10.3390/microorganisms13040825</w:t>
        </w:r>
      </w:hyperlink>
      <w:r>
        <w:t xml:space="preserve">.</w:t>
      </w:r>
    </w:p>
    <w:bookmarkEnd w:id="45"/>
    <w:bookmarkStart w:id="47"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46">
        <w:r>
          <w:rPr>
            <w:rStyle w:val="Hyperlink"/>
          </w:rPr>
          <w:t xml:space="preserve">https://doi.org/10.3390/genes15060658</w:t>
        </w:r>
      </w:hyperlink>
      <w:r>
        <w:t xml:space="preserve">.</w:t>
      </w:r>
    </w:p>
    <w:bookmarkEnd w:id="47"/>
    <w:bookmarkStart w:id="49"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48">
        <w:r>
          <w:rPr>
            <w:rStyle w:val="Hyperlink"/>
          </w:rPr>
          <w:t xml:space="preserve">https://doi.org/10.3390/ijms26030931</w:t>
        </w:r>
      </w:hyperlink>
      <w:r>
        <w:t xml:space="preserve">.</w:t>
      </w:r>
    </w:p>
    <w:bookmarkEnd w:id="49"/>
    <w:bookmarkStart w:id="51"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50">
        <w:r>
          <w:rPr>
            <w:rStyle w:val="Hyperlink"/>
          </w:rPr>
          <w:t xml:space="preserve">https://doi.org/10.1016/j.heliyon.2023.e23695</w:t>
        </w:r>
      </w:hyperlink>
      <w:r>
        <w:t xml:space="preserve">.</w:t>
      </w:r>
    </w:p>
    <w:bookmarkEnd w:id="51"/>
    <w:bookmarkStart w:id="53"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52">
        <w:r>
          <w:rPr>
            <w:rStyle w:val="Hyperlink"/>
          </w:rPr>
          <w:t xml:space="preserve">https://doi.org/10.3389/fgene.2021.666539</w:t>
        </w:r>
      </w:hyperlink>
      <w:r>
        <w:t xml:space="preserve">.</w:t>
      </w:r>
    </w:p>
    <w:bookmarkEnd w:id="53"/>
    <w:bookmarkStart w:id="55"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54">
        <w:r>
          <w:rPr>
            <w:rStyle w:val="Hyperlink"/>
          </w:rPr>
          <w:t xml:space="preserve">https://doi.org/10.1016/j.cbd.2021.100955</w:t>
        </w:r>
      </w:hyperlink>
      <w:r>
        <w:t xml:space="preserve">.</w:t>
      </w:r>
    </w:p>
    <w:bookmarkEnd w:id="55"/>
    <w:bookmarkEnd w:id="56"/>
    <w:bookmarkEnd w:id="57"/>
    <w:bookmarkEnd w:id="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54" Target="https://doi.org/10.1016/j.cbd.2021.100955" TargetMode="External" /><Relationship Type="http://schemas.openxmlformats.org/officeDocument/2006/relationships/hyperlink" Id="rId42" Target="https://doi.org/10.1016/j.fsi.2017.08.047" TargetMode="External" /><Relationship Type="http://schemas.openxmlformats.org/officeDocument/2006/relationships/hyperlink" Id="rId50" Target="https://doi.org/10.1016/j.heliyon.2023.e23695" TargetMode="External" /><Relationship Type="http://schemas.openxmlformats.org/officeDocument/2006/relationships/hyperlink" Id="rId52" Target="https://doi.org/10.3389/fgene.2021.666539" TargetMode="External" /><Relationship Type="http://schemas.openxmlformats.org/officeDocument/2006/relationships/hyperlink" Id="rId46" Target="https://doi.org/10.3390/genes15060658" TargetMode="External" /><Relationship Type="http://schemas.openxmlformats.org/officeDocument/2006/relationships/hyperlink" Id="rId48" Target="https://doi.org/10.3390/ijms26030931" TargetMode="External" /><Relationship Type="http://schemas.openxmlformats.org/officeDocument/2006/relationships/hyperlink" Id="rId44" Target="https://doi.org/10.3390/microorganisms13040825" TargetMode="External" /><Relationship Type="http://schemas.openxmlformats.org/officeDocument/2006/relationships/hyperlink" Id="rId28" Target="https://sr320.github.io/paper-chilean-mussel/index.qmd.html"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cbd.2021.100955" TargetMode="External" /><Relationship Type="http://schemas.openxmlformats.org/officeDocument/2006/relationships/hyperlink" Id="rId42" Target="https://doi.org/10.1016/j.fsi.2017.08.047" TargetMode="External" /><Relationship Type="http://schemas.openxmlformats.org/officeDocument/2006/relationships/hyperlink" Id="rId50" Target="https://doi.org/10.1016/j.heliyon.2023.e23695" TargetMode="External" /><Relationship Type="http://schemas.openxmlformats.org/officeDocument/2006/relationships/hyperlink" Id="rId52" Target="https://doi.org/10.3389/fgene.2021.666539" TargetMode="External" /><Relationship Type="http://schemas.openxmlformats.org/officeDocument/2006/relationships/hyperlink" Id="rId46" Target="https://doi.org/10.3390/genes15060658" TargetMode="External" /><Relationship Type="http://schemas.openxmlformats.org/officeDocument/2006/relationships/hyperlink" Id="rId48" Target="https://doi.org/10.3390/ijms26030931" TargetMode="External" /><Relationship Type="http://schemas.openxmlformats.org/officeDocument/2006/relationships/hyperlink" Id="rId44" Target="https://doi.org/10.3390/microorganisms13040825" TargetMode="External" /><Relationship Type="http://schemas.openxmlformats.org/officeDocument/2006/relationships/hyperlink" Id="rId28" Target="https://sr320.github.io/paper-chilean-musse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2025-08-13T18:59:07Z</dcterms:created>
  <dcterms:modified xsi:type="dcterms:W3CDTF">2025-08-13T18:59:07Z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