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Aptos Display" w:hAnsi="Aptos Display"/>
          <w:b/>
          <w:color w:val="182C42"/>
          <w:sz w:val="68"/>
        </w:rPr>
        <w:t>SYSTEM DESIGN</w:t>
      </w:r>
    </w:p>
    <w:p>
      <w:pPr>
        <w:jc w:val="center"/>
      </w:pPr>
      <w:r>
        <w:rPr>
          <w:b/>
          <w:color w:val="007078"/>
          <w:sz w:val="34"/>
        </w:rPr>
        <w:t>RAVEN / SQUARES Demonstration Platform</w:t>
      </w:r>
    </w:p>
    <w:p>
      <w:pPr>
        <w:spacing w:before="320"/>
        <w:jc w:val="center"/>
      </w:pPr>
      <w:r>
        <w:rPr>
          <w:color w:val="59636E"/>
          <w:sz w:val="22"/>
        </w:rPr>
        <w:t>Architecture, purpose, implementation, rationale, value, and operating model</w:t>
      </w:r>
    </w:p>
    <w:p>
      <w:pPr>
        <w:spacing w:before="2600"/>
        <w:jc w:val="center"/>
      </w:pPr>
      <w:r>
        <w:rPr>
          <w:color w:val="59636E"/>
          <w:sz w:val="19"/>
        </w:rPr>
        <w:t>Repository analyzed: github.com/srab2001/raven_demo</w:t>
      </w:r>
    </w:p>
    <w:p>
      <w:pPr>
        <w:jc w:val="center"/>
      </w:pPr>
      <w:r>
        <w:rPr>
          <w:color w:val="59636E"/>
          <w:sz w:val="18"/>
        </w:rPr>
        <w:t>Analysis basis: main branch repository content reviewed August 17, 2026</w:t>
      </w:r>
    </w:p>
    <w:p>
      <w:r>
        <w:br w:type="page"/>
      </w:r>
    </w:p>
    <w:p>
      <w:pPr>
        <w:pStyle w:val="Heading1"/>
      </w:pPr>
      <w:r>
        <w:t>1. Executive Summary</w:t>
      </w:r>
    </w:p>
    <w:p>
      <w:pPr>
        <w:pStyle w:val="Lead"/>
      </w:pPr>
      <w:r>
        <w:rPr>
          <w:b/>
        </w:rPr>
        <w:t xml:space="preserve">RAVEN/SQUARES is a deployable demonstration platform that turns federal digital-service trust claims into observable behavior. </w:t>
      </w:r>
      <w:r>
        <w:t>Rather than presenting slides that say a system is resilient, accessible, governed, or explainable, the repository exposes those properties through interactive prototypes, live API behavior, persisted state, failure injection, runtime status checks, and auditable user actions.</w:t>
      </w:r>
    </w:p>
    <w:tbl>
      <w:tblPr>
        <w:tblW w:type="auto" w:w="0"/>
        <w:jc w:val="center"/>
        <w:tblLook w:firstColumn="1" w:firstRow="1" w:lastColumn="0" w:lastRow="0" w:noHBand="0" w:noVBand="1" w:val="04A0"/>
      </w:tblPr>
      <w:tblGrid>
        <w:gridCol w:w="9994"/>
      </w:tblGrid>
      <w:tr>
        <w:tc>
          <w:tcPr>
            <w:tcW w:type="dxa" w:w="9994"/>
            <w:shd w:fill="EEF5F6"/>
            <w:tcMar>
              <w:top w:w="130" w:type="dxa"/>
              <w:start w:w="160" w:type="dxa"/>
              <w:bottom w:w="130" w:type="dxa"/>
              <w:end w:w="160" w:type="dxa"/>
            </w:tcMar>
            <w:tcBorders>
              <w:left w:val="single" w:sz="24" w:color="007078"/>
            </w:tcBorders>
          </w:tcPr>
          <w:p>
            <w:pPr>
              <w:spacing w:after="60"/>
            </w:pPr>
            <w:r>
              <w:rPr>
                <w:b/>
                <w:color w:val="007078"/>
                <w:sz w:val="21"/>
              </w:rPr>
              <w:t>Core design idea</w:t>
            </w:r>
          </w:p>
          <w:p>
            <w:pPr>
              <w:spacing w:after="0"/>
            </w:pPr>
            <w:r>
              <w:t>“Show it live, don’t just claim it.” The platform is designed as an evaluator-facing proof environment: each major claim is paired with a control, data source, failure state, persisted record, or live system signal that an evaluator can inspect.</w:t>
            </w:r>
          </w:p>
        </w:tc>
      </w:tr>
    </w:tbl>
    <w:p>
      <w:pPr>
        <w:spacing w:after="20"/>
      </w:pP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800"/>
            <w:shd w:fill="18304A"/>
            <w:tcMar>
              <w:top w:w="90" w:type="dxa"/>
              <w:start w:w="110" w:type="dxa"/>
              <w:bottom w:w="90" w:type="dxa"/>
              <w:end w:w="110" w:type="dxa"/>
            </w:tcMar>
            <w:vAlign w:val="center"/>
          </w:tcPr>
          <w:p>
            <w:pPr>
              <w:jc w:val="left"/>
            </w:pPr>
            <w:r>
              <w:rPr>
                <w:b/>
                <w:color w:val="FFFFFF"/>
                <w:sz w:val="18"/>
              </w:rPr>
              <w:t>Area</w:t>
            </w:r>
          </w:p>
        </w:tc>
        <w:tc>
          <w:tcPr>
            <w:tcW w:type="dxa" w:w="8424"/>
            <w:shd w:fill="18304A"/>
            <w:tcMar>
              <w:top w:w="90" w:type="dxa"/>
              <w:start w:w="110" w:type="dxa"/>
              <w:bottom w:w="90" w:type="dxa"/>
              <w:end w:w="110" w:type="dxa"/>
            </w:tcMar>
            <w:vAlign w:val="center"/>
          </w:tcPr>
          <w:p>
            <w:pPr>
              <w:jc w:val="left"/>
            </w:pPr>
            <w:r>
              <w:rPr>
                <w:b/>
                <w:color w:val="FFFFFF"/>
                <w:sz w:val="18"/>
              </w:rPr>
              <w:t>What RAVEN/SQUARES demonstrates</w:t>
            </w:r>
          </w:p>
        </w:tc>
      </w:tr>
      <w:tr>
        <w:tc>
          <w:tcPr>
            <w:tcW w:type="dxa" w:w="1800"/>
            <w:tcMar>
              <w:top w:w="90" w:type="dxa"/>
              <w:start w:w="100" w:type="dxa"/>
              <w:bottom w:w="90" w:type="dxa"/>
              <w:end w:w="100" w:type="dxa"/>
            </w:tcMar>
            <w:vAlign w:val="center"/>
          </w:tcPr>
          <w:p>
            <w:pPr>
              <w:spacing w:after="0"/>
            </w:pPr>
            <w:r>
              <w:rPr>
                <w:color w:val="22272B"/>
                <w:sz w:val="18"/>
              </w:rPr>
              <w:t>Resilience</w:t>
            </w:r>
          </w:p>
        </w:tc>
        <w:tc>
          <w:tcPr>
            <w:tcW w:type="dxa" w:w="8424"/>
            <w:tcMar>
              <w:top w:w="90" w:type="dxa"/>
              <w:start w:w="100" w:type="dxa"/>
              <w:bottom w:w="90" w:type="dxa"/>
              <w:end w:w="100" w:type="dxa"/>
            </w:tcMar>
            <w:vAlign w:val="center"/>
          </w:tcPr>
          <w:p>
            <w:pPr>
              <w:spacing w:after="0"/>
            </w:pPr>
            <w:r>
              <w:rPr>
                <w:color w:val="22272B"/>
                <w:sz w:val="18"/>
              </w:rPr>
              <w:t>Controlled Lighthouse/API failure scenarios, endpoint health, circuit-breaker behavior, and event traces.</w:t>
            </w:r>
          </w:p>
        </w:tc>
      </w:tr>
      <w:tr>
        <w:tc>
          <w:tcPr>
            <w:tcW w:type="dxa" w:w="1800"/>
            <w:tcMar>
              <w:top w:w="90" w:type="dxa"/>
              <w:start w:w="100" w:type="dxa"/>
              <w:bottom w:w="90" w:type="dxa"/>
              <w:end w:w="100" w:type="dxa"/>
            </w:tcMar>
            <w:vAlign w:val="center"/>
          </w:tcPr>
          <w:p>
            <w:pPr>
              <w:spacing w:after="0"/>
            </w:pPr>
            <w:r>
              <w:rPr>
                <w:color w:val="22272B"/>
                <w:sz w:val="18"/>
              </w:rPr>
              <w:t>Accessibility</w:t>
            </w:r>
          </w:p>
        </w:tc>
        <w:tc>
          <w:tcPr>
            <w:tcW w:type="dxa" w:w="8424"/>
            <w:tcMar>
              <w:top w:w="90" w:type="dxa"/>
              <w:start w:w="100" w:type="dxa"/>
              <w:bottom w:w="90" w:type="dxa"/>
              <w:end w:w="100" w:type="dxa"/>
            </w:tcMar>
            <w:vAlign w:val="center"/>
          </w:tcPr>
          <w:p>
            <w:pPr>
              <w:spacing w:after="0"/>
            </w:pPr>
            <w:r>
              <w:rPr>
                <w:color w:val="22272B"/>
                <w:sz w:val="18"/>
              </w:rPr>
              <w:t>Keyboard-first eligibility flow, axe-core scans, screen-reader phrasing simulation, and reading-level feedback.</w:t>
            </w:r>
          </w:p>
        </w:tc>
      </w:tr>
      <w:tr>
        <w:tc>
          <w:tcPr>
            <w:tcW w:type="dxa" w:w="1800"/>
            <w:tcMar>
              <w:top w:w="90" w:type="dxa"/>
              <w:start w:w="100" w:type="dxa"/>
              <w:bottom w:w="90" w:type="dxa"/>
              <w:end w:w="100" w:type="dxa"/>
            </w:tcMar>
            <w:vAlign w:val="center"/>
          </w:tcPr>
          <w:p>
            <w:pPr>
              <w:spacing w:after="0"/>
            </w:pPr>
            <w:r>
              <w:rPr>
                <w:color w:val="22272B"/>
                <w:sz w:val="18"/>
              </w:rPr>
              <w:t>Governance</w:t>
            </w:r>
          </w:p>
        </w:tc>
        <w:tc>
          <w:tcPr>
            <w:tcW w:type="dxa" w:w="8424"/>
            <w:tcMar>
              <w:top w:w="90" w:type="dxa"/>
              <w:start w:w="100" w:type="dxa"/>
              <w:bottom w:w="90" w:type="dxa"/>
              <w:end w:w="100" w:type="dxa"/>
            </w:tcMar>
            <w:vAlign w:val="center"/>
          </w:tcPr>
          <w:p>
            <w:pPr>
              <w:spacing w:after="0"/>
            </w:pPr>
            <w:r>
              <w:rPr>
                <w:color w:val="22272B"/>
                <w:sz w:val="18"/>
              </w:rPr>
              <w:t>Cross-team review, dashboard attestation, release gates, email guardrails, and persisted PR-board entries.</w:t>
            </w:r>
          </w:p>
        </w:tc>
      </w:tr>
      <w:tr>
        <w:tc>
          <w:tcPr>
            <w:tcW w:type="dxa" w:w="1800"/>
            <w:tcMar>
              <w:top w:w="90" w:type="dxa"/>
              <w:start w:w="100" w:type="dxa"/>
              <w:bottom w:w="90" w:type="dxa"/>
              <w:end w:w="100" w:type="dxa"/>
            </w:tcMar>
            <w:vAlign w:val="center"/>
          </w:tcPr>
          <w:p>
            <w:pPr>
              <w:spacing w:after="0"/>
            </w:pPr>
            <w:r>
              <w:rPr>
                <w:color w:val="22272B"/>
                <w:sz w:val="18"/>
              </w:rPr>
              <w:t>Explainability</w:t>
            </w:r>
          </w:p>
        </w:tc>
        <w:tc>
          <w:tcPr>
            <w:tcW w:type="dxa" w:w="8424"/>
            <w:tcMar>
              <w:top w:w="90" w:type="dxa"/>
              <w:start w:w="100" w:type="dxa"/>
              <w:bottom w:w="90" w:type="dxa"/>
              <w:end w:w="100" w:type="dxa"/>
            </w:tcMar>
            <w:vAlign w:val="center"/>
          </w:tcPr>
          <w:p>
            <w:pPr>
              <w:spacing w:after="0"/>
            </w:pPr>
            <w:r>
              <w:rPr>
                <w:color w:val="22272B"/>
                <w:sz w:val="18"/>
              </w:rPr>
              <w:t>A reusable XaaS contract that returns rules, provenance, uncertainty, subgroup metrics, and a disagreement path.</w:t>
            </w:r>
          </w:p>
        </w:tc>
      </w:tr>
      <w:tr>
        <w:tc>
          <w:tcPr>
            <w:tcW w:type="dxa" w:w="1800"/>
            <w:tcMar>
              <w:top w:w="90" w:type="dxa"/>
              <w:start w:w="100" w:type="dxa"/>
              <w:bottom w:w="90" w:type="dxa"/>
              <w:end w:w="100" w:type="dxa"/>
            </w:tcMar>
            <w:vAlign w:val="center"/>
          </w:tcPr>
          <w:p>
            <w:pPr>
              <w:spacing w:after="0"/>
            </w:pPr>
            <w:r>
              <w:rPr>
                <w:color w:val="22272B"/>
                <w:sz w:val="18"/>
              </w:rPr>
              <w:t>Platform trust</w:t>
            </w:r>
          </w:p>
        </w:tc>
        <w:tc>
          <w:tcPr>
            <w:tcW w:type="dxa" w:w="8424"/>
            <w:tcMar>
              <w:top w:w="90" w:type="dxa"/>
              <w:start w:w="100" w:type="dxa"/>
              <w:bottom w:w="90" w:type="dxa"/>
              <w:end w:w="100" w:type="dxa"/>
            </w:tcMar>
            <w:vAlign w:val="center"/>
          </w:tcPr>
          <w:p>
            <w:pPr>
              <w:spacing w:after="0"/>
            </w:pPr>
            <w:r>
              <w:rPr>
                <w:color w:val="22272B"/>
                <w:sz w:val="18"/>
              </w:rPr>
              <w:t>Google sign-in, reviewer approval, admin controls, editable demo copy, live status, and visible error handling.</w:t>
            </w:r>
          </w:p>
        </w:tc>
      </w:tr>
    </w:tbl>
    <w:p>
      <w:pPr>
        <w:spacing w:after="20"/>
      </w:pPr>
    </w:p>
    <w:p>
      <w:pPr>
        <w:pStyle w:val="Heading1"/>
      </w:pPr>
      <w:r>
        <w:t>2. Purpose</w:t>
      </w:r>
    </w:p>
    <w:p>
      <w:r>
        <w:t>The repository exists to demonstrate how RAVEN features can be delivered with resilience, accessibility, engineering rigor, and explainability built into the system. It is not a production benefits platform or a production ML inference system. It is a proof package that lets evaluators interact with representative controls and observe how the underlying platform behaves.</w:t>
      </w:r>
    </w:p>
    <w:p>
      <w:pPr>
        <w:pStyle w:val="Heading1"/>
      </w:pPr>
      <w:r>
        <w:t>3. Intended Use</w:t>
      </w:r>
    </w:p>
    <w:p>
      <w:r>
        <w:t>The primary use is evaluator and stakeholder demonstration. Reviewers sign in, interact with four prototypes, inspect system behavior, and use the “how it’s built” page to verify the platform’s own architecture and runtime state. Administrators approve reviewers and can edit explanatory callouts without a new deployment.</w:t>
      </w:r>
    </w:p>
    <w:p>
      <w:pPr>
        <w:pStyle w:val="Heading1"/>
      </w:pPr>
      <w:r>
        <w:t>4. Value Proposition</w:t>
      </w:r>
    </w:p>
    <w:p>
      <w:r>
        <w:t>The system reduces the gap between an architectural claim and evidence. It makes non-functional qualities—resilience, accessibility, governance, transparency, and recourse—demonstrable. The fourth demo also reframes explainability as reusable infrastructure so future RAVEN features can inherit a standard contract instead of reimplementing trust mechanisms feature by feature.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04"/>
            <w:shd w:fill="18304A"/>
            <w:tcMar>
              <w:top w:w="90" w:type="dxa"/>
              <w:start w:w="110" w:type="dxa"/>
              <w:bottom w:w="90" w:type="dxa"/>
              <w:end w:w="110" w:type="dxa"/>
            </w:tcMar>
            <w:vAlign w:val="center"/>
          </w:tcPr>
          <w:p>
            <w:pPr>
              <w:jc w:val="left"/>
            </w:pPr>
            <w:r>
              <w:rPr>
                <w:b/>
                <w:color w:val="FFFFFF"/>
                <w:sz w:val="18"/>
              </w:rPr>
              <w:t>Stakeholder</w:t>
            </w:r>
          </w:p>
        </w:tc>
        <w:tc>
          <w:tcPr>
            <w:tcW w:type="dxa" w:w="7920"/>
            <w:shd w:fill="18304A"/>
            <w:tcMar>
              <w:top w:w="90" w:type="dxa"/>
              <w:start w:w="110" w:type="dxa"/>
              <w:bottom w:w="90" w:type="dxa"/>
              <w:end w:w="110" w:type="dxa"/>
            </w:tcMar>
            <w:vAlign w:val="center"/>
          </w:tcPr>
          <w:p>
            <w:pPr>
              <w:jc w:val="left"/>
            </w:pPr>
            <w:r>
              <w:rPr>
                <w:b/>
                <w:color w:val="FFFFFF"/>
                <w:sz w:val="18"/>
              </w:rPr>
              <w:t>Value</w:t>
            </w:r>
          </w:p>
        </w:tc>
      </w:tr>
      <w:tr>
        <w:tc>
          <w:tcPr>
            <w:tcW w:type="dxa" w:w="2304"/>
            <w:tcMar>
              <w:top w:w="90" w:type="dxa"/>
              <w:start w:w="100" w:type="dxa"/>
              <w:bottom w:w="90" w:type="dxa"/>
              <w:end w:w="100" w:type="dxa"/>
            </w:tcMar>
            <w:vAlign w:val="center"/>
          </w:tcPr>
          <w:p>
            <w:pPr>
              <w:spacing w:after="0"/>
            </w:pPr>
            <w:r>
              <w:rPr>
                <w:color w:val="22272B"/>
                <w:sz w:val="18"/>
              </w:rPr>
              <w:t>Government evaluator</w:t>
            </w:r>
          </w:p>
        </w:tc>
        <w:tc>
          <w:tcPr>
            <w:tcW w:type="dxa" w:w="7920"/>
            <w:tcMar>
              <w:top w:w="90" w:type="dxa"/>
              <w:start w:w="100" w:type="dxa"/>
              <w:bottom w:w="90" w:type="dxa"/>
              <w:end w:w="100" w:type="dxa"/>
            </w:tcMar>
            <w:vAlign w:val="center"/>
          </w:tcPr>
          <w:p>
            <w:pPr>
              <w:spacing w:after="0"/>
            </w:pPr>
            <w:r>
              <w:rPr>
                <w:color w:val="22272B"/>
                <w:sz w:val="18"/>
              </w:rPr>
              <w:t>Can verify claims by interacting with live controls, live status, and real rejection paths.</w:t>
            </w:r>
          </w:p>
        </w:tc>
      </w:tr>
      <w:tr>
        <w:tc>
          <w:tcPr>
            <w:tcW w:type="dxa" w:w="2304"/>
            <w:tcMar>
              <w:top w:w="90" w:type="dxa"/>
              <w:start w:w="100" w:type="dxa"/>
              <w:bottom w:w="90" w:type="dxa"/>
              <w:end w:w="100" w:type="dxa"/>
            </w:tcMar>
            <w:vAlign w:val="center"/>
          </w:tcPr>
          <w:p>
            <w:pPr>
              <w:spacing w:after="0"/>
            </w:pPr>
            <w:r>
              <w:rPr>
                <w:color w:val="22272B"/>
                <w:sz w:val="18"/>
              </w:rPr>
              <w:t>Program/product leadership</w:t>
            </w:r>
          </w:p>
        </w:tc>
        <w:tc>
          <w:tcPr>
            <w:tcW w:type="dxa" w:w="7920"/>
            <w:tcMar>
              <w:top w:w="90" w:type="dxa"/>
              <w:start w:w="100" w:type="dxa"/>
              <w:bottom w:w="90" w:type="dxa"/>
              <w:end w:w="100" w:type="dxa"/>
            </w:tcMar>
            <w:vAlign w:val="center"/>
          </w:tcPr>
          <w:p>
            <w:pPr>
              <w:spacing w:after="0"/>
            </w:pPr>
            <w:r>
              <w:rPr>
                <w:color w:val="22272B"/>
                <w:sz w:val="18"/>
              </w:rPr>
              <w:t>Gets a concrete prototype for discussing technical risk, governance, and user trust.</w:t>
            </w:r>
          </w:p>
        </w:tc>
      </w:tr>
      <w:tr>
        <w:tc>
          <w:tcPr>
            <w:tcW w:type="dxa" w:w="2304"/>
            <w:tcMar>
              <w:top w:w="90" w:type="dxa"/>
              <w:start w:w="100" w:type="dxa"/>
              <w:bottom w:w="90" w:type="dxa"/>
              <w:end w:w="100" w:type="dxa"/>
            </w:tcMar>
            <w:vAlign w:val="center"/>
          </w:tcPr>
          <w:p>
            <w:pPr>
              <w:spacing w:after="0"/>
            </w:pPr>
            <w:r>
              <w:rPr>
                <w:color w:val="22272B"/>
                <w:sz w:val="18"/>
              </w:rPr>
              <w:t>Engineering teams</w:t>
            </w:r>
          </w:p>
        </w:tc>
        <w:tc>
          <w:tcPr>
            <w:tcW w:type="dxa" w:w="7920"/>
            <w:tcMar>
              <w:top w:w="90" w:type="dxa"/>
              <w:start w:w="100" w:type="dxa"/>
              <w:bottom w:w="90" w:type="dxa"/>
              <w:end w:w="100" w:type="dxa"/>
            </w:tcMar>
            <w:vAlign w:val="center"/>
          </w:tcPr>
          <w:p>
            <w:pPr>
              <w:spacing w:after="0"/>
            </w:pPr>
            <w:r>
              <w:rPr>
                <w:color w:val="22272B"/>
                <w:sz w:val="18"/>
              </w:rPr>
              <w:t>Gets reusable patterns for auth, error handling, content controls, explainability, and deployment.</w:t>
            </w:r>
          </w:p>
        </w:tc>
      </w:tr>
      <w:tr>
        <w:tc>
          <w:tcPr>
            <w:tcW w:type="dxa" w:w="2304"/>
            <w:tcMar>
              <w:top w:w="90" w:type="dxa"/>
              <w:start w:w="100" w:type="dxa"/>
              <w:bottom w:w="90" w:type="dxa"/>
              <w:end w:w="100" w:type="dxa"/>
            </w:tcMar>
            <w:vAlign w:val="center"/>
          </w:tcPr>
          <w:p>
            <w:pPr>
              <w:spacing w:after="0"/>
            </w:pPr>
            <w:r>
              <w:rPr>
                <w:color w:val="22272B"/>
                <w:sz w:val="18"/>
              </w:rPr>
              <w:t>Veteran/caseworker context</w:t>
            </w:r>
          </w:p>
        </w:tc>
        <w:tc>
          <w:tcPr>
            <w:tcW w:type="dxa" w:w="7920"/>
            <w:tcMar>
              <w:top w:w="90" w:type="dxa"/>
              <w:start w:w="100" w:type="dxa"/>
              <w:bottom w:w="90" w:type="dxa"/>
              <w:end w:w="100" w:type="dxa"/>
            </w:tcMar>
            <w:vAlign w:val="center"/>
          </w:tcPr>
          <w:p>
            <w:pPr>
              <w:spacing w:after="0"/>
            </w:pPr>
            <w:r>
              <w:rPr>
                <w:color w:val="22272B"/>
                <w:sz w:val="18"/>
              </w:rPr>
              <w:t>Sees how recommendations can expose source records, governing rules, uncertainty, and human-review recourse.</w:t>
            </w:r>
          </w:p>
        </w:tc>
      </w:tr>
    </w:tbl>
    <w:p>
      <w:pPr>
        <w:spacing w:after="20"/>
      </w:pPr>
    </w:p>
    <w:p>
      <w:pPr>
        <w:pStyle w:val="Heading1"/>
      </w:pPr>
      <w:r>
        <w:t>5. System Context and Scope</w:t>
      </w:r>
    </w:p>
    <w:p>
      <w:r>
        <w:t>The repository is a monorepo containing four separate Vite + React + TypeScript applications plus shared serverless APIs and static platform pages. A root build compiles the four applications and assembles them into one Vercel deployment under distinct paths.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76"/>
            <w:shd w:fill="18304A"/>
            <w:tcMar>
              <w:top w:w="90" w:type="dxa"/>
              <w:start w:w="110" w:type="dxa"/>
              <w:bottom w:w="90" w:type="dxa"/>
              <w:end w:w="110" w:type="dxa"/>
            </w:tcMar>
            <w:vAlign w:val="center"/>
          </w:tcPr>
          <w:p>
            <w:pPr>
              <w:jc w:val="left"/>
            </w:pPr>
            <w:r>
              <w:rPr>
                <w:b/>
                <w:color w:val="FFFFFF"/>
                <w:sz w:val="17"/>
              </w:rPr>
              <w:t>Path / capability</w:t>
            </w:r>
          </w:p>
        </w:tc>
        <w:tc>
          <w:tcPr>
            <w:tcW w:type="dxa" w:w="7848"/>
            <w:shd w:fill="18304A"/>
            <w:tcMar>
              <w:top w:w="90" w:type="dxa"/>
              <w:start w:w="110" w:type="dxa"/>
              <w:bottom w:w="90" w:type="dxa"/>
              <w:end w:w="110" w:type="dxa"/>
            </w:tcMar>
            <w:vAlign w:val="center"/>
          </w:tcPr>
          <w:p>
            <w:pPr>
              <w:jc w:val="left"/>
            </w:pPr>
            <w:r>
              <w:rPr>
                <w:b/>
                <w:color w:val="FFFFFF"/>
                <w:sz w:val="17"/>
              </w:rPr>
              <w:t>Role</w:t>
            </w:r>
          </w:p>
        </w:tc>
      </w:tr>
      <w:tr>
        <w:tc>
          <w:tcPr>
            <w:tcW w:type="dxa" w:w="2376"/>
            <w:tcMar>
              <w:top w:w="90" w:type="dxa"/>
              <w:start w:w="100" w:type="dxa"/>
              <w:bottom w:w="90" w:type="dxa"/>
              <w:end w:w="100" w:type="dxa"/>
            </w:tcMar>
            <w:vAlign w:val="center"/>
          </w:tcPr>
          <w:p>
            <w:pPr>
              <w:spacing w:after="0"/>
            </w:pPr>
            <w:r>
              <w:rPr>
                <w:color w:val="22272B"/>
                <w:sz w:val="17"/>
              </w:rPr>
              <w:t>/demo1</w:t>
            </w:r>
          </w:p>
        </w:tc>
        <w:tc>
          <w:tcPr>
            <w:tcW w:type="dxa" w:w="7848"/>
            <w:tcMar>
              <w:top w:w="90" w:type="dxa"/>
              <w:start w:w="100" w:type="dxa"/>
              <w:bottom w:w="90" w:type="dxa"/>
              <w:end w:w="100" w:type="dxa"/>
            </w:tcMar>
            <w:vAlign w:val="center"/>
          </w:tcPr>
          <w:p>
            <w:pPr>
              <w:spacing w:after="0"/>
            </w:pPr>
            <w:r>
              <w:rPr>
                <w:color w:val="22272B"/>
                <w:sz w:val="17"/>
              </w:rPr>
              <w:t>Lighthouse Under Load — resilience and failure-handling proof.</w:t>
            </w:r>
          </w:p>
        </w:tc>
      </w:tr>
      <w:tr>
        <w:tc>
          <w:tcPr>
            <w:tcW w:type="dxa" w:w="2376"/>
            <w:tcMar>
              <w:top w:w="90" w:type="dxa"/>
              <w:start w:w="100" w:type="dxa"/>
              <w:bottom w:w="90" w:type="dxa"/>
              <w:end w:w="100" w:type="dxa"/>
            </w:tcMar>
            <w:vAlign w:val="center"/>
          </w:tcPr>
          <w:p>
            <w:pPr>
              <w:spacing w:after="0"/>
            </w:pPr>
            <w:r>
              <w:rPr>
                <w:color w:val="22272B"/>
                <w:sz w:val="17"/>
              </w:rPr>
              <w:t>/demo2</w:t>
            </w:r>
          </w:p>
        </w:tc>
        <w:tc>
          <w:tcPr>
            <w:tcW w:type="dxa" w:w="7848"/>
            <w:tcMar>
              <w:top w:w="90" w:type="dxa"/>
              <w:start w:w="100" w:type="dxa"/>
              <w:bottom w:w="90" w:type="dxa"/>
              <w:end w:w="100" w:type="dxa"/>
            </w:tcMar>
            <w:vAlign w:val="center"/>
          </w:tcPr>
          <w:p>
            <w:pPr>
              <w:spacing w:after="0"/>
            </w:pPr>
            <w:r>
              <w:rPr>
                <w:color w:val="22272B"/>
                <w:sz w:val="17"/>
              </w:rPr>
              <w:t>508-First Eligibility Wizard — accessibility and rules-vs-AI proof.</w:t>
            </w:r>
          </w:p>
        </w:tc>
      </w:tr>
      <w:tr>
        <w:tc>
          <w:tcPr>
            <w:tcW w:type="dxa" w:w="2376"/>
            <w:tcMar>
              <w:top w:w="90" w:type="dxa"/>
              <w:start w:w="100" w:type="dxa"/>
              <w:bottom w:w="90" w:type="dxa"/>
              <w:end w:w="100" w:type="dxa"/>
            </w:tcMar>
            <w:vAlign w:val="center"/>
          </w:tcPr>
          <w:p>
            <w:pPr>
              <w:spacing w:after="0"/>
            </w:pPr>
            <w:r>
              <w:rPr>
                <w:color w:val="22272B"/>
                <w:sz w:val="17"/>
              </w:rPr>
              <w:t>/demo3</w:t>
            </w:r>
          </w:p>
        </w:tc>
        <w:tc>
          <w:tcPr>
            <w:tcW w:type="dxa" w:w="7848"/>
            <w:tcMar>
              <w:top w:w="90" w:type="dxa"/>
              <w:start w:w="100" w:type="dxa"/>
              <w:bottom w:w="90" w:type="dxa"/>
              <w:end w:w="100" w:type="dxa"/>
            </w:tcMar>
            <w:vAlign w:val="center"/>
          </w:tcPr>
          <w:p>
            <w:pPr>
              <w:spacing w:after="0"/>
            </w:pPr>
            <w:r>
              <w:rPr>
                <w:color w:val="22272B"/>
                <w:sz w:val="17"/>
              </w:rPr>
              <w:t>Vendor Rigor Console — delivery/governance controls and release guardrails.</w:t>
            </w:r>
          </w:p>
        </w:tc>
      </w:tr>
      <w:tr>
        <w:tc>
          <w:tcPr>
            <w:tcW w:type="dxa" w:w="2376"/>
            <w:tcMar>
              <w:top w:w="90" w:type="dxa"/>
              <w:start w:w="100" w:type="dxa"/>
              <w:bottom w:w="90" w:type="dxa"/>
              <w:end w:w="100" w:type="dxa"/>
            </w:tcMar>
            <w:vAlign w:val="center"/>
          </w:tcPr>
          <w:p>
            <w:pPr>
              <w:spacing w:after="0"/>
            </w:pPr>
            <w:r>
              <w:rPr>
                <w:color w:val="22272B"/>
                <w:sz w:val="17"/>
              </w:rPr>
              <w:t>/demo4</w:t>
            </w:r>
          </w:p>
        </w:tc>
        <w:tc>
          <w:tcPr>
            <w:tcW w:type="dxa" w:w="7848"/>
            <w:tcMar>
              <w:top w:w="90" w:type="dxa"/>
              <w:start w:w="100" w:type="dxa"/>
              <w:bottom w:w="90" w:type="dxa"/>
              <w:end w:w="100" w:type="dxa"/>
            </w:tcMar>
            <w:vAlign w:val="center"/>
          </w:tcPr>
          <w:p>
            <w:pPr>
              <w:spacing w:after="0"/>
            </w:pPr>
            <w:r>
              <w:rPr>
                <w:color w:val="22272B"/>
                <w:sz w:val="17"/>
              </w:rPr>
              <w:t>XaaS Fabric — reusable explanation contract and disagreement workflow.</w:t>
            </w:r>
          </w:p>
        </w:tc>
      </w:tr>
      <w:tr>
        <w:tc>
          <w:tcPr>
            <w:tcW w:type="dxa" w:w="2376"/>
            <w:tcMar>
              <w:top w:w="90" w:type="dxa"/>
              <w:start w:w="100" w:type="dxa"/>
              <w:bottom w:w="90" w:type="dxa"/>
              <w:end w:w="100" w:type="dxa"/>
            </w:tcMar>
            <w:vAlign w:val="center"/>
          </w:tcPr>
          <w:p>
            <w:pPr>
              <w:spacing w:after="0"/>
            </w:pPr>
            <w:r>
              <w:rPr>
                <w:color w:val="22272B"/>
                <w:sz w:val="17"/>
              </w:rPr>
              <w:t>/login, /pending</w:t>
            </w:r>
          </w:p>
        </w:tc>
        <w:tc>
          <w:tcPr>
            <w:tcW w:type="dxa" w:w="7848"/>
            <w:tcMar>
              <w:top w:w="90" w:type="dxa"/>
              <w:start w:w="100" w:type="dxa"/>
              <w:bottom w:w="90" w:type="dxa"/>
              <w:end w:w="100" w:type="dxa"/>
            </w:tcMar>
            <w:vAlign w:val="center"/>
          </w:tcPr>
          <w:p>
            <w:pPr>
              <w:spacing w:after="0"/>
            </w:pPr>
            <w:r>
              <w:rPr>
                <w:color w:val="22272B"/>
                <w:sz w:val="17"/>
              </w:rPr>
              <w:t>Google sign-in entry and approval waiting state.</w:t>
            </w:r>
          </w:p>
        </w:tc>
      </w:tr>
      <w:tr>
        <w:tc>
          <w:tcPr>
            <w:tcW w:type="dxa" w:w="2376"/>
            <w:tcMar>
              <w:top w:w="90" w:type="dxa"/>
              <w:start w:w="100" w:type="dxa"/>
              <w:bottom w:w="90" w:type="dxa"/>
              <w:end w:w="100" w:type="dxa"/>
            </w:tcMar>
            <w:vAlign w:val="center"/>
          </w:tcPr>
          <w:p>
            <w:pPr>
              <w:spacing w:after="0"/>
            </w:pPr>
            <w:r>
              <w:rPr>
                <w:color w:val="22272B"/>
                <w:sz w:val="17"/>
              </w:rPr>
              <w:t>/admin</w:t>
            </w:r>
          </w:p>
        </w:tc>
        <w:tc>
          <w:tcPr>
            <w:tcW w:type="dxa" w:w="7848"/>
            <w:tcMar>
              <w:top w:w="90" w:type="dxa"/>
              <w:start w:w="100" w:type="dxa"/>
              <w:bottom w:w="90" w:type="dxa"/>
              <w:end w:w="100" w:type="dxa"/>
            </w:tcMar>
            <w:vAlign w:val="center"/>
          </w:tcPr>
          <w:p>
            <w:pPr>
              <w:spacing w:after="0"/>
            </w:pPr>
            <w:r>
              <w:rPr>
                <w:color w:val="22272B"/>
                <w:sz w:val="17"/>
              </w:rPr>
              <w:t>Reviewer approval, revocation/invitation, content editing, and admin-only controls.</w:t>
            </w:r>
          </w:p>
        </w:tc>
      </w:tr>
      <w:tr>
        <w:tc>
          <w:tcPr>
            <w:tcW w:type="dxa" w:w="2376"/>
            <w:tcMar>
              <w:top w:w="90" w:type="dxa"/>
              <w:start w:w="100" w:type="dxa"/>
              <w:bottom w:w="90" w:type="dxa"/>
              <w:end w:w="100" w:type="dxa"/>
            </w:tcMar>
            <w:vAlign w:val="center"/>
          </w:tcPr>
          <w:p>
            <w:pPr>
              <w:spacing w:after="0"/>
            </w:pPr>
            <w:r>
              <w:rPr>
                <w:color w:val="22272B"/>
                <w:sz w:val="17"/>
              </w:rPr>
              <w:t>/how-its-built</w:t>
            </w:r>
          </w:p>
        </w:tc>
        <w:tc>
          <w:tcPr>
            <w:tcW w:type="dxa" w:w="7848"/>
            <w:tcMar>
              <w:top w:w="90" w:type="dxa"/>
              <w:start w:w="100" w:type="dxa"/>
              <w:bottom w:w="90" w:type="dxa"/>
              <w:end w:w="100" w:type="dxa"/>
            </w:tcMar>
            <w:vAlign w:val="center"/>
          </w:tcPr>
          <w:p>
            <w:pPr>
              <w:spacing w:after="0"/>
            </w:pPr>
            <w:r>
              <w:rPr>
                <w:color w:val="22272B"/>
                <w:sz w:val="17"/>
              </w:rPr>
              <w:t>Evaluator-facing platform walkthrough with live status, data-flow explanations, content editing, and real error responses.</w:t>
            </w:r>
          </w:p>
        </w:tc>
      </w:tr>
      <w:tr>
        <w:tc>
          <w:tcPr>
            <w:tcW w:type="dxa" w:w="2376"/>
            <w:tcMar>
              <w:top w:w="90" w:type="dxa"/>
              <w:start w:w="100" w:type="dxa"/>
              <w:bottom w:w="90" w:type="dxa"/>
              <w:end w:w="100" w:type="dxa"/>
            </w:tcMar>
            <w:vAlign w:val="center"/>
          </w:tcPr>
          <w:p>
            <w:pPr>
              <w:spacing w:after="0"/>
            </w:pPr>
            <w:r>
              <w:rPr>
                <w:color w:val="22272B"/>
                <w:sz w:val="17"/>
              </w:rPr>
              <w:t>/api/*</w:t>
            </w:r>
          </w:p>
        </w:tc>
        <w:tc>
          <w:tcPr>
            <w:tcW w:type="dxa" w:w="7848"/>
            <w:tcMar>
              <w:top w:w="90" w:type="dxa"/>
              <w:start w:w="100" w:type="dxa"/>
              <w:bottom w:w="90" w:type="dxa"/>
              <w:end w:w="100" w:type="dxa"/>
            </w:tcMar>
            <w:vAlign w:val="center"/>
          </w:tcPr>
          <w:p>
            <w:pPr>
              <w:spacing w:after="0"/>
            </w:pPr>
            <w:r>
              <w:rPr>
                <w:color w:val="22272B"/>
                <w:sz w:val="17"/>
              </w:rPr>
              <w:t>Vercel serverless API surface for auth, content, admin, status, PR board, and XaaS.</w:t>
            </w:r>
          </w:p>
        </w:tc>
      </w:tr>
      <w:tr>
        <w:tc>
          <w:tcPr>
            <w:tcW w:type="dxa" w:w="2376"/>
            <w:tcMar>
              <w:top w:w="90" w:type="dxa"/>
              <w:start w:w="100" w:type="dxa"/>
              <w:bottom w:w="90" w:type="dxa"/>
              <w:end w:w="100" w:type="dxa"/>
            </w:tcMar>
            <w:vAlign w:val="center"/>
          </w:tcPr>
          <w:p>
            <w:pPr>
              <w:spacing w:after="0"/>
            </w:pPr>
            <w:r>
              <w:rPr>
                <w:color w:val="22272B"/>
                <w:sz w:val="17"/>
              </w:rPr>
              <w:t>Neon Postgres</w:t>
            </w:r>
          </w:p>
        </w:tc>
        <w:tc>
          <w:tcPr>
            <w:tcW w:type="dxa" w:w="7848"/>
            <w:tcMar>
              <w:top w:w="90" w:type="dxa"/>
              <w:start w:w="100" w:type="dxa"/>
              <w:bottom w:w="90" w:type="dxa"/>
              <w:end w:w="100" w:type="dxa"/>
            </w:tcMar>
            <w:vAlign w:val="center"/>
          </w:tcPr>
          <w:p>
            <w:pPr>
              <w:spacing w:after="0"/>
            </w:pPr>
            <w:r>
              <w:rPr>
                <w:color w:val="22272B"/>
                <w:sz w:val="17"/>
              </w:rPr>
              <w:t>Persistent users, content overrides, PR entries, model-card data, subgroup metrics, calibration data, and disagreement tickets.</w:t>
            </w:r>
          </w:p>
        </w:tc>
      </w:tr>
    </w:tbl>
    <w:p>
      <w:pPr>
        <w:spacing w:after="20"/>
      </w:pPr>
    </w:p>
    <w:p>
      <w:pPr>
        <w:pStyle w:val="Heading1"/>
      </w:pPr>
      <w:r>
        <w:t>6. High-Level Architecture</w:t>
      </w:r>
    </w:p>
    <w:p>
      <w:r>
        <w:t>The design deliberately combines mostly static front ends with a small serverless control plane. This keeps the demo deployable and easy to inspect while still providing real authentication, persistence, and API behavior where those elements are necessary to prove the intended claims.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584"/>
            <w:shd w:fill="18304A"/>
            <w:tcMar>
              <w:top w:w="90" w:type="dxa"/>
              <w:start w:w="110" w:type="dxa"/>
              <w:bottom w:w="90" w:type="dxa"/>
              <w:end w:w="110" w:type="dxa"/>
            </w:tcMar>
            <w:vAlign w:val="center"/>
          </w:tcPr>
          <w:p>
            <w:pPr>
              <w:jc w:val="left"/>
            </w:pPr>
            <w:r>
              <w:rPr>
                <w:b/>
                <w:color w:val="FFFFFF"/>
                <w:sz w:val="17"/>
              </w:rPr>
              <w:t>Layer</w:t>
            </w:r>
          </w:p>
        </w:tc>
        <w:tc>
          <w:tcPr>
            <w:tcW w:type="dxa" w:w="3384"/>
            <w:shd w:fill="18304A"/>
            <w:tcMar>
              <w:top w:w="90" w:type="dxa"/>
              <w:start w:w="110" w:type="dxa"/>
              <w:bottom w:w="90" w:type="dxa"/>
              <w:end w:w="110" w:type="dxa"/>
            </w:tcMar>
            <w:vAlign w:val="center"/>
          </w:tcPr>
          <w:p>
            <w:pPr>
              <w:jc w:val="left"/>
            </w:pPr>
            <w:r>
              <w:rPr>
                <w:b/>
                <w:color w:val="FFFFFF"/>
                <w:sz w:val="17"/>
              </w:rPr>
              <w:t>Primary components</w:t>
            </w:r>
          </w:p>
        </w:tc>
        <w:tc>
          <w:tcPr>
            <w:tcW w:type="dxa" w:w="5400"/>
            <w:shd w:fill="18304A"/>
            <w:tcMar>
              <w:top w:w="90" w:type="dxa"/>
              <w:start w:w="110" w:type="dxa"/>
              <w:bottom w:w="90" w:type="dxa"/>
              <w:end w:w="110" w:type="dxa"/>
            </w:tcMar>
            <w:vAlign w:val="center"/>
          </w:tcPr>
          <w:p>
            <w:pPr>
              <w:jc w:val="left"/>
            </w:pPr>
            <w:r>
              <w:rPr>
                <w:b/>
                <w:color w:val="FFFFFF"/>
                <w:sz w:val="17"/>
              </w:rPr>
              <w:t>Responsibility</w:t>
            </w:r>
          </w:p>
        </w:tc>
      </w:tr>
      <w:tr>
        <w:tc>
          <w:tcPr>
            <w:tcW w:type="dxa" w:w="1584"/>
            <w:tcMar>
              <w:top w:w="90" w:type="dxa"/>
              <w:start w:w="100" w:type="dxa"/>
              <w:bottom w:w="90" w:type="dxa"/>
              <w:end w:w="100" w:type="dxa"/>
            </w:tcMar>
            <w:vAlign w:val="center"/>
          </w:tcPr>
          <w:p>
            <w:pPr>
              <w:spacing w:after="0"/>
            </w:pPr>
            <w:r>
              <w:rPr>
                <w:color w:val="22272B"/>
                <w:sz w:val="17"/>
              </w:rPr>
              <w:t>Experience</w:t>
            </w:r>
          </w:p>
        </w:tc>
        <w:tc>
          <w:tcPr>
            <w:tcW w:type="dxa" w:w="3384"/>
            <w:tcMar>
              <w:top w:w="90" w:type="dxa"/>
              <w:start w:w="100" w:type="dxa"/>
              <w:bottom w:w="90" w:type="dxa"/>
              <w:end w:w="100" w:type="dxa"/>
            </w:tcMar>
            <w:vAlign w:val="center"/>
          </w:tcPr>
          <w:p>
            <w:pPr>
              <w:spacing w:after="0"/>
            </w:pPr>
            <w:r>
              <w:rPr>
                <w:color w:val="22272B"/>
                <w:sz w:val="17"/>
              </w:rPr>
              <w:t>Landing page; Demo 1–4; admin; pending; how-its-built</w:t>
            </w:r>
          </w:p>
        </w:tc>
        <w:tc>
          <w:tcPr>
            <w:tcW w:type="dxa" w:w="5400"/>
            <w:tcMar>
              <w:top w:w="90" w:type="dxa"/>
              <w:start w:w="100" w:type="dxa"/>
              <w:bottom w:w="90" w:type="dxa"/>
              <w:end w:w="100" w:type="dxa"/>
            </w:tcMar>
            <w:vAlign w:val="center"/>
          </w:tcPr>
          <w:p>
            <w:pPr>
              <w:spacing w:after="0"/>
            </w:pPr>
            <w:r>
              <w:rPr>
                <w:color w:val="22272B"/>
                <w:sz w:val="17"/>
              </w:rPr>
              <w:t>Evaluator interactions, visual proof, explanation cards, governance controls.</w:t>
            </w:r>
          </w:p>
        </w:tc>
      </w:tr>
      <w:tr>
        <w:tc>
          <w:tcPr>
            <w:tcW w:type="dxa" w:w="1584"/>
            <w:tcMar>
              <w:top w:w="90" w:type="dxa"/>
              <w:start w:w="100" w:type="dxa"/>
              <w:bottom w:w="90" w:type="dxa"/>
              <w:end w:w="100" w:type="dxa"/>
            </w:tcMar>
            <w:vAlign w:val="center"/>
          </w:tcPr>
          <w:p>
            <w:pPr>
              <w:spacing w:after="0"/>
            </w:pPr>
            <w:r>
              <w:rPr>
                <w:color w:val="22272B"/>
                <w:sz w:val="17"/>
              </w:rPr>
              <w:t>Access control</w:t>
            </w:r>
          </w:p>
        </w:tc>
        <w:tc>
          <w:tcPr>
            <w:tcW w:type="dxa" w:w="3384"/>
            <w:tcMar>
              <w:top w:w="90" w:type="dxa"/>
              <w:start w:w="100" w:type="dxa"/>
              <w:bottom w:w="90" w:type="dxa"/>
              <w:end w:w="100" w:type="dxa"/>
            </w:tcMar>
            <w:vAlign w:val="center"/>
          </w:tcPr>
          <w:p>
            <w:pPr>
              <w:spacing w:after="0"/>
            </w:pPr>
            <w:r>
              <w:rPr>
                <w:color w:val="22272B"/>
                <w:sz w:val="17"/>
              </w:rPr>
              <w:t>Vercel Edge middleware; signed session cookie</w:t>
            </w:r>
          </w:p>
        </w:tc>
        <w:tc>
          <w:tcPr>
            <w:tcW w:type="dxa" w:w="5400"/>
            <w:tcMar>
              <w:top w:w="90" w:type="dxa"/>
              <w:start w:w="100" w:type="dxa"/>
              <w:bottom w:w="90" w:type="dxa"/>
              <w:end w:w="100" w:type="dxa"/>
            </w:tcMar>
            <w:vAlign w:val="center"/>
          </w:tcPr>
          <w:p>
            <w:pPr>
              <w:spacing w:after="0"/>
            </w:pPr>
            <w:r>
              <w:rPr>
                <w:color w:val="22272B"/>
                <w:sz w:val="17"/>
              </w:rPr>
              <w:t>Gate protected routes and restrict /admin to administrators.</w:t>
            </w:r>
          </w:p>
        </w:tc>
      </w:tr>
      <w:tr>
        <w:tc>
          <w:tcPr>
            <w:tcW w:type="dxa" w:w="1584"/>
            <w:tcMar>
              <w:top w:w="90" w:type="dxa"/>
              <w:start w:w="100" w:type="dxa"/>
              <w:bottom w:w="90" w:type="dxa"/>
              <w:end w:w="100" w:type="dxa"/>
            </w:tcMar>
            <w:vAlign w:val="center"/>
          </w:tcPr>
          <w:p>
            <w:pPr>
              <w:spacing w:after="0"/>
            </w:pPr>
            <w:r>
              <w:rPr>
                <w:color w:val="22272B"/>
                <w:sz w:val="17"/>
              </w:rPr>
              <w:t>Serverless API</w:t>
            </w:r>
          </w:p>
        </w:tc>
        <w:tc>
          <w:tcPr>
            <w:tcW w:type="dxa" w:w="3384"/>
            <w:tcMar>
              <w:top w:w="90" w:type="dxa"/>
              <w:start w:w="100" w:type="dxa"/>
              <w:bottom w:w="90" w:type="dxa"/>
              <w:end w:w="100" w:type="dxa"/>
            </w:tcMar>
            <w:vAlign w:val="center"/>
          </w:tcPr>
          <w:p>
            <w:pPr>
              <w:spacing w:after="0"/>
            </w:pPr>
            <w:r>
              <w:rPr>
                <w:color w:val="22272B"/>
                <w:sz w:val="17"/>
              </w:rPr>
              <w:t>/api/auth, /api/admin, /api/content, /api/pr-board, /api/status, /api/xaas</w:t>
            </w:r>
          </w:p>
        </w:tc>
        <w:tc>
          <w:tcPr>
            <w:tcW w:type="dxa" w:w="5400"/>
            <w:tcMar>
              <w:top w:w="90" w:type="dxa"/>
              <w:start w:w="100" w:type="dxa"/>
              <w:bottom w:w="90" w:type="dxa"/>
              <w:end w:w="100" w:type="dxa"/>
            </w:tcMar>
            <w:vAlign w:val="center"/>
          </w:tcPr>
          <w:p>
            <w:pPr>
              <w:spacing w:after="0"/>
            </w:pPr>
            <w:r>
              <w:rPr>
                <w:color w:val="22272B"/>
                <w:sz w:val="17"/>
              </w:rPr>
              <w:t>OAuth flow, authorization, state mutation, status reporting, explainability services.</w:t>
            </w:r>
          </w:p>
        </w:tc>
      </w:tr>
      <w:tr>
        <w:tc>
          <w:tcPr>
            <w:tcW w:type="dxa" w:w="1584"/>
            <w:tcMar>
              <w:top w:w="90" w:type="dxa"/>
              <w:start w:w="100" w:type="dxa"/>
              <w:bottom w:w="90" w:type="dxa"/>
              <w:end w:w="100" w:type="dxa"/>
            </w:tcMar>
            <w:vAlign w:val="center"/>
          </w:tcPr>
          <w:p>
            <w:pPr>
              <w:spacing w:after="0"/>
            </w:pPr>
            <w:r>
              <w:rPr>
                <w:color w:val="22272B"/>
                <w:sz w:val="17"/>
              </w:rPr>
              <w:t>Shared libraries</w:t>
            </w:r>
          </w:p>
        </w:tc>
        <w:tc>
          <w:tcPr>
            <w:tcW w:type="dxa" w:w="3384"/>
            <w:tcMar>
              <w:top w:w="90" w:type="dxa"/>
              <w:start w:w="100" w:type="dxa"/>
              <w:bottom w:w="90" w:type="dxa"/>
              <w:end w:w="100" w:type="dxa"/>
            </w:tcMar>
            <w:vAlign w:val="center"/>
          </w:tcPr>
          <w:p>
            <w:pPr>
              <w:spacing w:after="0"/>
            </w:pPr>
            <w:r>
              <w:rPr>
                <w:color w:val="22272B"/>
                <w:sz w:val="17"/>
              </w:rPr>
              <w:t>Session/JWT, DB access, API error handling, content manifest</w:t>
            </w:r>
          </w:p>
        </w:tc>
        <w:tc>
          <w:tcPr>
            <w:tcW w:type="dxa" w:w="5400"/>
            <w:tcMar>
              <w:top w:w="90" w:type="dxa"/>
              <w:start w:w="100" w:type="dxa"/>
              <w:bottom w:w="90" w:type="dxa"/>
              <w:end w:w="100" w:type="dxa"/>
            </w:tcMar>
            <w:vAlign w:val="center"/>
          </w:tcPr>
          <w:p>
            <w:pPr>
              <w:spacing w:after="0"/>
            </w:pPr>
            <w:r>
              <w:rPr>
                <w:color w:val="22272B"/>
                <w:sz w:val="17"/>
              </w:rPr>
              <w:t>Common security, persistence, error, and content patterns.</w:t>
            </w:r>
          </w:p>
        </w:tc>
      </w:tr>
      <w:tr>
        <w:tc>
          <w:tcPr>
            <w:tcW w:type="dxa" w:w="1584"/>
            <w:tcMar>
              <w:top w:w="90" w:type="dxa"/>
              <w:start w:w="100" w:type="dxa"/>
              <w:bottom w:w="90" w:type="dxa"/>
              <w:end w:w="100" w:type="dxa"/>
            </w:tcMar>
            <w:vAlign w:val="center"/>
          </w:tcPr>
          <w:p>
            <w:pPr>
              <w:spacing w:after="0"/>
            </w:pPr>
            <w:r>
              <w:rPr>
                <w:color w:val="22272B"/>
                <w:sz w:val="17"/>
              </w:rPr>
              <w:t>Persistence</w:t>
            </w:r>
          </w:p>
        </w:tc>
        <w:tc>
          <w:tcPr>
            <w:tcW w:type="dxa" w:w="3384"/>
            <w:tcMar>
              <w:top w:w="90" w:type="dxa"/>
              <w:start w:w="100" w:type="dxa"/>
              <w:bottom w:w="90" w:type="dxa"/>
              <w:end w:w="100" w:type="dxa"/>
            </w:tcMar>
            <w:vAlign w:val="center"/>
          </w:tcPr>
          <w:p>
            <w:pPr>
              <w:spacing w:after="0"/>
            </w:pPr>
            <w:r>
              <w:rPr>
                <w:color w:val="22272B"/>
                <w:sz w:val="17"/>
              </w:rPr>
              <w:t>Neon Postgres</w:t>
            </w:r>
          </w:p>
        </w:tc>
        <w:tc>
          <w:tcPr>
            <w:tcW w:type="dxa" w:w="5400"/>
            <w:tcMar>
              <w:top w:w="90" w:type="dxa"/>
              <w:start w:w="100" w:type="dxa"/>
              <w:bottom w:w="90" w:type="dxa"/>
              <w:end w:w="100" w:type="dxa"/>
            </w:tcMar>
            <w:vAlign w:val="center"/>
          </w:tcPr>
          <w:p>
            <w:pPr>
              <w:spacing w:after="0"/>
            </w:pPr>
            <w:r>
              <w:rPr>
                <w:color w:val="22272B"/>
                <w:sz w:val="17"/>
              </w:rPr>
              <w:t>Durable reviewer/admin state, editable content, PR entries, XaaS data and feedback.</w:t>
            </w:r>
          </w:p>
        </w:tc>
      </w:tr>
      <w:tr>
        <w:tc>
          <w:tcPr>
            <w:tcW w:type="dxa" w:w="1584"/>
            <w:tcMar>
              <w:top w:w="90" w:type="dxa"/>
              <w:start w:w="100" w:type="dxa"/>
              <w:bottom w:w="90" w:type="dxa"/>
              <w:end w:w="100" w:type="dxa"/>
            </w:tcMar>
            <w:vAlign w:val="center"/>
          </w:tcPr>
          <w:p>
            <w:pPr>
              <w:spacing w:after="0"/>
            </w:pPr>
            <w:r>
              <w:rPr>
                <w:color w:val="22272B"/>
                <w:sz w:val="17"/>
              </w:rPr>
              <w:t>Delivery</w:t>
            </w:r>
          </w:p>
        </w:tc>
        <w:tc>
          <w:tcPr>
            <w:tcW w:type="dxa" w:w="3384"/>
            <w:tcMar>
              <w:top w:w="90" w:type="dxa"/>
              <w:start w:w="100" w:type="dxa"/>
              <w:bottom w:w="90" w:type="dxa"/>
              <w:end w:w="100" w:type="dxa"/>
            </w:tcMar>
            <w:vAlign w:val="center"/>
          </w:tcPr>
          <w:p>
            <w:pPr>
              <w:spacing w:after="0"/>
            </w:pPr>
            <w:r>
              <w:rPr>
                <w:color w:val="22272B"/>
                <w:sz w:val="17"/>
              </w:rPr>
              <w:t>npm workspaces; root build; Vercel rewrites</w:t>
            </w:r>
          </w:p>
        </w:tc>
        <w:tc>
          <w:tcPr>
            <w:tcW w:type="dxa" w:w="5400"/>
            <w:tcMar>
              <w:top w:w="90" w:type="dxa"/>
              <w:start w:w="100" w:type="dxa"/>
              <w:bottom w:w="90" w:type="dxa"/>
              <w:end w:w="100" w:type="dxa"/>
            </w:tcMar>
            <w:vAlign w:val="center"/>
          </w:tcPr>
          <w:p>
            <w:pPr>
              <w:spacing w:after="0"/>
            </w:pPr>
            <w:r>
              <w:rPr>
                <w:color w:val="22272B"/>
                <w:sz w:val="17"/>
              </w:rPr>
              <w:t>Build four apps, assemble one dist tree, deploy as a single Vercel project.</w:t>
            </w:r>
          </w:p>
        </w:tc>
      </w:tr>
    </w:tbl>
    <w:p>
      <w:pPr>
        <w:spacing w:after="20"/>
      </w:pPr>
    </w:p>
    <w:tbl>
      <w:tblPr>
        <w:tblW w:type="auto" w:w="0"/>
        <w:jc w:val="center"/>
        <w:tblLook w:firstColumn="1" w:firstRow="1" w:lastColumn="0" w:lastRow="0" w:noHBand="0" w:noVBand="1" w:val="04A0"/>
      </w:tblPr>
      <w:tblGrid>
        <w:gridCol w:w="9994"/>
      </w:tblGrid>
      <w:tr>
        <w:tc>
          <w:tcPr>
            <w:tcW w:type="dxa" w:w="9994"/>
            <w:shd w:fill="EEF5F6"/>
            <w:tcMar>
              <w:top w:w="130" w:type="dxa"/>
              <w:start w:w="160" w:type="dxa"/>
              <w:bottom w:w="130" w:type="dxa"/>
              <w:end w:w="160" w:type="dxa"/>
            </w:tcMar>
            <w:tcBorders>
              <w:left w:val="single" w:sz="24" w:color="007078"/>
            </w:tcBorders>
          </w:tcPr>
          <w:p>
            <w:pPr>
              <w:spacing w:after="60"/>
            </w:pPr>
            <w:r>
              <w:rPr>
                <w:b/>
                <w:color w:val="007078"/>
                <w:sz w:val="21"/>
              </w:rPr>
              <w:t>Why this architecture fits the demo</w:t>
            </w:r>
          </w:p>
          <w:p>
            <w:pPr>
              <w:spacing w:after="0"/>
            </w:pPr>
            <w:r>
              <w:t>A single Vercel project creates one reviewable deployment and one access-control boundary. Separate Vite apps keep the demonstrations isolated and independently understandable. Shared APIs and Postgres add real behavior only where persistence, identity, or cross-demo reuse materially strengthens the proof.</w:t>
            </w:r>
          </w:p>
        </w:tc>
      </w:tr>
    </w:tbl>
    <w:p>
      <w:pPr>
        <w:spacing w:after="20"/>
      </w:pPr>
    </w:p>
    <w:p>
      <w:pPr>
        <w:pStyle w:val="Heading1"/>
      </w:pPr>
      <w:r>
        <w:t>7. Key Data Flows</w:t>
      </w:r>
    </w:p>
    <w:p>
      <w:pPr>
        <w:pStyle w:val="Heading2"/>
      </w:pPr>
      <w:r>
        <w:t>7.1 Authentication and reviewer approval</w:t>
      </w:r>
    </w:p>
    <w:p>
      <w:pPr>
        <w:pStyle w:val="ListBullet"/>
        <w:spacing w:after="40"/>
      </w:pPr>
      <w:r>
        <w:t>Protected request reaches Edge Middleware.</w:t>
      </w:r>
    </w:p>
    <w:p>
      <w:pPr>
        <w:pStyle w:val="ListBullet"/>
        <w:spacing w:after="40"/>
      </w:pPr>
      <w:r>
        <w:t>Middleware reads the signed session cookie and verifies it. Missing or invalid session redirects the reviewer to /login.</w:t>
      </w:r>
    </w:p>
    <w:p>
      <w:pPr>
        <w:pStyle w:val="ListBullet"/>
        <w:spacing w:after="40"/>
      </w:pPr>
      <w:r>
        <w:t>/api/auth/google/start sends the reviewer to Google OAuth; the callback exchanges the authorization code and verifies the Google ID token.</w:t>
      </w:r>
    </w:p>
    <w:p>
      <w:pPr>
        <w:pStyle w:val="ListBullet"/>
        <w:spacing w:after="40"/>
      </w:pPr>
      <w:r>
        <w:t>The callback upserts the user in Neon Postgres. Emails in ADMIN_EMAILS bootstrap as administrators; other first-time users remain pending until approval.</w:t>
      </w:r>
    </w:p>
    <w:p>
      <w:pPr>
        <w:pStyle w:val="ListBullet"/>
        <w:spacing w:after="40"/>
      </w:pPr>
      <w:r>
        <w:t>Approved users receive a signed HTTP-only session cookie. Admin pages additionally require role=admin.</w:t>
      </w:r>
    </w:p>
    <w:p>
      <w:pPr>
        <w:pStyle w:val="Heading2"/>
      </w:pPr>
      <w:r>
        <w:t>7.2 Editable demo content</w:t>
      </w:r>
    </w:p>
    <w:p>
      <w:pPr>
        <w:pStyle w:val="ListBullet"/>
        <w:spacing w:after="40"/>
      </w:pPr>
      <w:r>
        <w:t>Each demo contains hardcoded default callout/tooltip text identified by a content key.</w:t>
      </w:r>
    </w:p>
    <w:p>
      <w:pPr>
        <w:pStyle w:val="ListBullet"/>
        <w:spacing w:after="40"/>
      </w:pPr>
      <w:r>
        <w:t>The front end fetches /api/content and overlays any saved Postgres override on top of the default text.</w:t>
      </w:r>
    </w:p>
    <w:p>
      <w:pPr>
        <w:pStyle w:val="ListBullet"/>
        <w:spacing w:after="40"/>
      </w:pPr>
      <w:r>
        <w:t>Administrators use /api/admin/content to create or delete overrides; deleting an override returns the UI to the shipped default.</w:t>
      </w:r>
    </w:p>
    <w:p>
      <w:pPr>
        <w:pStyle w:val="ListBullet"/>
        <w:spacing w:after="40"/>
      </w:pPr>
      <w:r>
        <w:t>This separation lets presentation copy change without rebuilding the applications while keeping canonical defaults in source control.</w:t>
      </w:r>
    </w:p>
    <w:p>
      <w:pPr>
        <w:pStyle w:val="Heading2"/>
      </w:pPr>
      <w:r>
        <w:t>7.3 XaaS explanation and feedback</w:t>
      </w:r>
    </w:p>
    <w:p>
      <w:pPr>
        <w:pStyle w:val="ListBullet"/>
        <w:spacing w:after="40"/>
      </w:pPr>
      <w:r>
        <w:t>A caller posts a recommendation context to /api/xaas/explain.</w:t>
      </w:r>
    </w:p>
    <w:p>
      <w:pPr>
        <w:pStyle w:val="ListBullet"/>
        <w:spacing w:after="40"/>
      </w:pPr>
      <w:r>
        <w:t>The service resolves matched rules, source/provenance records, conformal confidence information, model-card metadata, and subgroup metrics.</w:t>
      </w:r>
    </w:p>
    <w:p>
      <w:pPr>
        <w:pStyle w:val="ListBullet"/>
        <w:spacing w:after="40"/>
      </w:pPr>
      <w:r>
        <w:t>The caller renders a common Explanation Card using the response contract.</w:t>
      </w:r>
    </w:p>
    <w:p>
      <w:pPr>
        <w:pStyle w:val="ListBullet"/>
        <w:spacing w:after="40"/>
      </w:pPr>
      <w:r>
        <w:t>An “I disagree” action posts structured feedback to /api/xaas/feedback, creating a durable ticket/audit record and showing how recourse would route to a model owner and caseworker.</w:t>
      </w:r>
    </w:p>
    <w:p>
      <w:pPr>
        <w:pStyle w:val="Heading1"/>
      </w:pPr>
      <w:r>
        <w:t>8. Demonstration Modules</w:t>
      </w:r>
    </w:p>
    <w:p>
      <w:pPr>
        <w:pStyle w:val="Heading2"/>
      </w:pPr>
      <w:r>
        <w:t>8.1 Demo 1 — Lighthouse Under Load</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736"/>
            <w:shd w:fill="18304A"/>
            <w:tcMar>
              <w:top w:w="90" w:type="dxa"/>
              <w:start w:w="110" w:type="dxa"/>
              <w:bottom w:w="90" w:type="dxa"/>
              <w:end w:w="110" w:type="dxa"/>
            </w:tcMar>
            <w:vAlign w:val="center"/>
          </w:tcPr>
          <w:p>
            <w:pPr>
              <w:jc w:val="left"/>
            </w:pPr>
            <w:r>
              <w:rPr>
                <w:b/>
                <w:color w:val="FFFFFF"/>
                <w:sz w:val="17"/>
              </w:rPr>
              <w:t>Purpose</w:t>
            </w:r>
          </w:p>
        </w:tc>
        <w:tc>
          <w:tcPr>
            <w:tcW w:type="dxa" w:w="3744"/>
            <w:shd w:fill="18304A"/>
            <w:tcMar>
              <w:top w:w="90" w:type="dxa"/>
              <w:start w:w="110" w:type="dxa"/>
              <w:bottom w:w="90" w:type="dxa"/>
              <w:end w:w="110" w:type="dxa"/>
            </w:tcMar>
            <w:vAlign w:val="center"/>
          </w:tcPr>
          <w:p>
            <w:pPr>
              <w:jc w:val="left"/>
            </w:pPr>
            <w:r>
              <w:rPr>
                <w:b/>
                <w:color w:val="FFFFFF"/>
                <w:sz w:val="17"/>
              </w:rPr>
              <w:t>How it works</w:t>
            </w:r>
          </w:p>
        </w:tc>
        <w:tc>
          <w:tcPr>
            <w:tcW w:type="dxa" w:w="3744"/>
            <w:shd w:fill="18304A"/>
            <w:tcMar>
              <w:top w:w="90" w:type="dxa"/>
              <w:start w:w="110" w:type="dxa"/>
              <w:bottom w:w="90" w:type="dxa"/>
              <w:end w:w="110" w:type="dxa"/>
            </w:tcMar>
            <w:vAlign w:val="center"/>
          </w:tcPr>
          <w:p>
            <w:pPr>
              <w:jc w:val="left"/>
            </w:pPr>
            <w:r>
              <w:rPr>
                <w:b/>
                <w:color w:val="FFFFFF"/>
                <w:sz w:val="17"/>
              </w:rPr>
              <w:t>Why built this way</w:t>
            </w:r>
          </w:p>
        </w:tc>
      </w:tr>
      <w:tr>
        <w:tc>
          <w:tcPr>
            <w:tcW w:type="dxa" w:w="2736"/>
            <w:tcMar>
              <w:top w:w="90" w:type="dxa"/>
              <w:start w:w="100" w:type="dxa"/>
              <w:bottom w:w="90" w:type="dxa"/>
              <w:end w:w="100" w:type="dxa"/>
            </w:tcMar>
            <w:vAlign w:val="center"/>
          </w:tcPr>
          <w:p>
            <w:pPr>
              <w:spacing w:after="0"/>
            </w:pPr>
            <w:r>
              <w:rPr>
                <w:color w:val="22272B"/>
                <w:sz w:val="17"/>
              </w:rPr>
              <w:t>Show that RAVEN can fail safely when dependent VA Lighthouse/FHIR services degrade.</w:t>
            </w:r>
          </w:p>
        </w:tc>
        <w:tc>
          <w:tcPr>
            <w:tcW w:type="dxa" w:w="3744"/>
            <w:tcMar>
              <w:top w:w="90" w:type="dxa"/>
              <w:start w:w="100" w:type="dxa"/>
              <w:bottom w:w="90" w:type="dxa"/>
              <w:end w:w="100" w:type="dxa"/>
            </w:tcMar>
            <w:vAlign w:val="center"/>
          </w:tcPr>
          <w:p>
            <w:pPr>
              <w:spacing w:after="0"/>
            </w:pPr>
            <w:r>
              <w:rPr>
                <w:color w:val="22272B"/>
                <w:sz w:val="17"/>
              </w:rPr>
              <w:t>The UI exercises representative Patient, Clinical, and Coverage interactions, exposes endpoint health and an event log, and lets an evaluator inject failure modes such as revoked tokens, malformed FHIR, empty bundles, rate limiting, and circuit-breaker behavior.</w:t>
            </w:r>
          </w:p>
        </w:tc>
        <w:tc>
          <w:tcPr>
            <w:tcW w:type="dxa" w:w="3744"/>
            <w:tcMar>
              <w:top w:w="90" w:type="dxa"/>
              <w:start w:w="100" w:type="dxa"/>
              <w:bottom w:w="90" w:type="dxa"/>
              <w:end w:w="100" w:type="dxa"/>
            </w:tcMar>
            <w:vAlign w:val="center"/>
          </w:tcPr>
          <w:p>
            <w:pPr>
              <w:spacing w:after="0"/>
            </w:pPr>
            <w:r>
              <w:rPr>
                <w:color w:val="22272B"/>
                <w:sz w:val="17"/>
              </w:rPr>
              <w:t>Failure handling is difficult to prove with a happy-path screenshot. Chaos controls make failure behavior deterministic, repeatable, and visible. The repository explicitly documents that real sandbox OAuth is not used in this static demo environment.</w:t>
            </w:r>
          </w:p>
        </w:tc>
      </w:tr>
    </w:tbl>
    <w:p>
      <w:pPr>
        <w:spacing w:after="20"/>
      </w:pPr>
    </w:p>
    <w:p>
      <w:pPr>
        <w:pStyle w:val="Heading2"/>
      </w:pPr>
      <w:r>
        <w:t>8.2 Demo 2 — 508-First Eligibility Wizard</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736"/>
            <w:shd w:fill="18304A"/>
            <w:tcMar>
              <w:top w:w="90" w:type="dxa"/>
              <w:start w:w="110" w:type="dxa"/>
              <w:bottom w:w="90" w:type="dxa"/>
              <w:end w:w="110" w:type="dxa"/>
            </w:tcMar>
            <w:vAlign w:val="center"/>
          </w:tcPr>
          <w:p>
            <w:pPr>
              <w:jc w:val="left"/>
            </w:pPr>
            <w:r>
              <w:rPr>
                <w:b/>
                <w:color w:val="FFFFFF"/>
                <w:sz w:val="17"/>
              </w:rPr>
              <w:t>Purpose</w:t>
            </w:r>
          </w:p>
        </w:tc>
        <w:tc>
          <w:tcPr>
            <w:tcW w:type="dxa" w:w="3744"/>
            <w:shd w:fill="18304A"/>
            <w:tcMar>
              <w:top w:w="90" w:type="dxa"/>
              <w:start w:w="110" w:type="dxa"/>
              <w:bottom w:w="90" w:type="dxa"/>
              <w:end w:w="110" w:type="dxa"/>
            </w:tcMar>
            <w:vAlign w:val="center"/>
          </w:tcPr>
          <w:p>
            <w:pPr>
              <w:jc w:val="left"/>
            </w:pPr>
            <w:r>
              <w:rPr>
                <w:b/>
                <w:color w:val="FFFFFF"/>
                <w:sz w:val="17"/>
              </w:rPr>
              <w:t>How it works</w:t>
            </w:r>
          </w:p>
        </w:tc>
        <w:tc>
          <w:tcPr>
            <w:tcW w:type="dxa" w:w="3744"/>
            <w:shd w:fill="18304A"/>
            <w:tcMar>
              <w:top w:w="90" w:type="dxa"/>
              <w:start w:w="110" w:type="dxa"/>
              <w:bottom w:w="90" w:type="dxa"/>
              <w:end w:w="110" w:type="dxa"/>
            </w:tcMar>
            <w:vAlign w:val="center"/>
          </w:tcPr>
          <w:p>
            <w:pPr>
              <w:jc w:val="left"/>
            </w:pPr>
            <w:r>
              <w:rPr>
                <w:b/>
                <w:color w:val="FFFFFF"/>
                <w:sz w:val="17"/>
              </w:rPr>
              <w:t>Why built this way</w:t>
            </w:r>
          </w:p>
        </w:tc>
      </w:tr>
      <w:tr>
        <w:tc>
          <w:tcPr>
            <w:tcW w:type="dxa" w:w="2736"/>
            <w:tcMar>
              <w:top w:w="90" w:type="dxa"/>
              <w:start w:w="100" w:type="dxa"/>
              <w:bottom w:w="90" w:type="dxa"/>
              <w:end w:w="100" w:type="dxa"/>
            </w:tcMar>
            <w:vAlign w:val="center"/>
          </w:tcPr>
          <w:p>
            <w:pPr>
              <w:spacing w:after="0"/>
            </w:pPr>
            <w:r>
              <w:rPr>
                <w:color w:val="22272B"/>
                <w:sz w:val="17"/>
              </w:rPr>
              <w:t>Show that accessibility and deterministic eligibility logic can be first-class product behavior.</w:t>
            </w:r>
          </w:p>
        </w:tc>
        <w:tc>
          <w:tcPr>
            <w:tcW w:type="dxa" w:w="3744"/>
            <w:tcMar>
              <w:top w:w="90" w:type="dxa"/>
              <w:start w:w="100" w:type="dxa"/>
              <w:bottom w:w="90" w:type="dxa"/>
              <w:end w:w="100" w:type="dxa"/>
            </w:tcMar>
            <w:vAlign w:val="center"/>
          </w:tcPr>
          <w:p>
            <w:pPr>
              <w:spacing w:after="0"/>
            </w:pPr>
            <w:r>
              <w:rPr>
                <w:color w:val="22272B"/>
                <w:sz w:val="17"/>
              </w:rPr>
              <w:t>A keyboard-first, one-question-per-screen React flow includes axe-core accessibility scanning, an NVDA-style phrasing simulator, Flesch-Kincaid reading-level feedback, and a cited rules engine compared with AI explanation behavior.</w:t>
            </w:r>
          </w:p>
        </w:tc>
        <w:tc>
          <w:tcPr>
            <w:tcW w:type="dxa" w:w="3744"/>
            <w:tcMar>
              <w:top w:w="90" w:type="dxa"/>
              <w:start w:w="100" w:type="dxa"/>
              <w:bottom w:w="90" w:type="dxa"/>
              <w:end w:w="100" w:type="dxa"/>
            </w:tcMar>
            <w:vAlign w:val="center"/>
          </w:tcPr>
          <w:p>
            <w:pPr>
              <w:spacing w:after="0"/>
            </w:pPr>
            <w:r>
              <w:rPr>
                <w:color w:val="22272B"/>
                <w:sz w:val="17"/>
              </w:rPr>
              <w:t>The design separates deterministic rules from AI narrative: rules decide and AI explains. Accessibility instrumentation is exposed live so compliance intent can be observed rather than inferred.</w:t>
            </w:r>
          </w:p>
        </w:tc>
      </w:tr>
    </w:tbl>
    <w:p>
      <w:pPr>
        <w:spacing w:after="20"/>
      </w:pPr>
    </w:p>
    <w:p>
      <w:pPr>
        <w:pStyle w:val="Heading2"/>
      </w:pPr>
      <w:r>
        <w:t>8.3 Demo 3 — Vendor Rigor Console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736"/>
            <w:shd w:fill="18304A"/>
            <w:tcMar>
              <w:top w:w="90" w:type="dxa"/>
              <w:start w:w="110" w:type="dxa"/>
              <w:bottom w:w="90" w:type="dxa"/>
              <w:end w:w="110" w:type="dxa"/>
            </w:tcMar>
            <w:vAlign w:val="center"/>
          </w:tcPr>
          <w:p>
            <w:pPr>
              <w:jc w:val="left"/>
            </w:pPr>
            <w:r>
              <w:rPr>
                <w:b/>
                <w:color w:val="FFFFFF"/>
                <w:sz w:val="17"/>
              </w:rPr>
              <w:t>Purpose</w:t>
            </w:r>
          </w:p>
        </w:tc>
        <w:tc>
          <w:tcPr>
            <w:tcW w:type="dxa" w:w="3744"/>
            <w:shd w:fill="18304A"/>
            <w:tcMar>
              <w:top w:w="90" w:type="dxa"/>
              <w:start w:w="110" w:type="dxa"/>
              <w:bottom w:w="90" w:type="dxa"/>
              <w:end w:w="110" w:type="dxa"/>
            </w:tcMar>
            <w:vAlign w:val="center"/>
          </w:tcPr>
          <w:p>
            <w:pPr>
              <w:jc w:val="left"/>
            </w:pPr>
            <w:r>
              <w:rPr>
                <w:b/>
                <w:color w:val="FFFFFF"/>
                <w:sz w:val="17"/>
              </w:rPr>
              <w:t>How it works</w:t>
            </w:r>
          </w:p>
        </w:tc>
        <w:tc>
          <w:tcPr>
            <w:tcW w:type="dxa" w:w="3744"/>
            <w:shd w:fill="18304A"/>
            <w:tcMar>
              <w:top w:w="90" w:type="dxa"/>
              <w:start w:w="110" w:type="dxa"/>
              <w:bottom w:w="90" w:type="dxa"/>
              <w:end w:w="110" w:type="dxa"/>
            </w:tcMar>
            <w:vAlign w:val="center"/>
          </w:tcPr>
          <w:p>
            <w:pPr>
              <w:jc w:val="left"/>
            </w:pPr>
            <w:r>
              <w:rPr>
                <w:b/>
                <w:color w:val="FFFFFF"/>
                <w:sz w:val="17"/>
              </w:rPr>
              <w:t>Why built this way</w:t>
            </w:r>
          </w:p>
        </w:tc>
      </w:tr>
      <w:tr>
        <w:tc>
          <w:tcPr>
            <w:tcW w:type="dxa" w:w="2736"/>
            <w:tcMar>
              <w:top w:w="90" w:type="dxa"/>
              <w:start w:w="100" w:type="dxa"/>
              <w:bottom w:w="90" w:type="dxa"/>
              <w:end w:w="100" w:type="dxa"/>
            </w:tcMar>
            <w:vAlign w:val="center"/>
          </w:tcPr>
          <w:p>
            <w:pPr>
              <w:spacing w:after="0"/>
            </w:pPr>
            <w:r>
              <w:rPr>
                <w:color w:val="22272B"/>
                <w:sz w:val="17"/>
              </w:rPr>
              <w:t>Show that engineering/process rigor can be enforced through system gates instead of relying on team memory.</w:t>
            </w:r>
          </w:p>
        </w:tc>
        <w:tc>
          <w:tcPr>
            <w:tcW w:type="dxa" w:w="3744"/>
            <w:tcMar>
              <w:top w:w="90" w:type="dxa"/>
              <w:start w:w="100" w:type="dxa"/>
              <w:bottom w:w="90" w:type="dxa"/>
              <w:end w:w="100" w:type="dxa"/>
            </w:tcMar>
            <w:vAlign w:val="center"/>
          </w:tcPr>
          <w:p>
            <w:pPr>
              <w:spacing w:after="0"/>
            </w:pPr>
            <w:r>
              <w:rPr>
                <w:color w:val="22272B"/>
                <w:sz w:val="17"/>
              </w:rPr>
              <w:t>The console presents cross-team PR review, daily dashboard attestation, a release checklist that blocks Ship until gates pass, and an email guardrail. Approved viewers can create PR-board entries that persist in Postgres; deletion requires an administrator.</w:t>
            </w:r>
          </w:p>
        </w:tc>
        <w:tc>
          <w:tcPr>
            <w:tcW w:type="dxa" w:w="3744"/>
            <w:tcMar>
              <w:top w:w="90" w:type="dxa"/>
              <w:start w:w="100" w:type="dxa"/>
              <w:bottom w:w="90" w:type="dxa"/>
              <w:end w:w="100" w:type="dxa"/>
            </w:tcMar>
            <w:vAlign w:val="center"/>
          </w:tcPr>
          <w:p>
            <w:pPr>
              <w:spacing w:after="0"/>
            </w:pPr>
            <w:r>
              <w:rPr>
                <w:color w:val="22272B"/>
                <w:sz w:val="17"/>
              </w:rPr>
              <w:t>The demo turns governance from policy language into visible state transitions and blocked actions. This mirrors the broader platform principle that rigor should be enforced by tooling.</w:t>
            </w:r>
          </w:p>
        </w:tc>
      </w:tr>
    </w:tbl>
    <w:p>
      <w:pPr>
        <w:spacing w:after="20"/>
      </w:pPr>
    </w:p>
    <w:p>
      <w:pPr>
        <w:pStyle w:val="Heading2"/>
      </w:pPr>
      <w:r>
        <w:t>8.4 Demo 4 — Explainability-as-a-Service Fabric</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736"/>
            <w:shd w:fill="18304A"/>
            <w:tcMar>
              <w:top w:w="90" w:type="dxa"/>
              <w:start w:w="110" w:type="dxa"/>
              <w:bottom w:w="90" w:type="dxa"/>
              <w:end w:w="110" w:type="dxa"/>
            </w:tcMar>
            <w:vAlign w:val="center"/>
          </w:tcPr>
          <w:p>
            <w:pPr>
              <w:jc w:val="left"/>
            </w:pPr>
            <w:r>
              <w:rPr>
                <w:b/>
                <w:color w:val="FFFFFF"/>
                <w:sz w:val="17"/>
              </w:rPr>
              <w:t>Purpose</w:t>
            </w:r>
          </w:p>
        </w:tc>
        <w:tc>
          <w:tcPr>
            <w:tcW w:type="dxa" w:w="3744"/>
            <w:shd w:fill="18304A"/>
            <w:tcMar>
              <w:top w:w="90" w:type="dxa"/>
              <w:start w:w="110" w:type="dxa"/>
              <w:bottom w:w="90" w:type="dxa"/>
              <w:end w:w="110" w:type="dxa"/>
            </w:tcMar>
            <w:vAlign w:val="center"/>
          </w:tcPr>
          <w:p>
            <w:pPr>
              <w:jc w:val="left"/>
            </w:pPr>
            <w:r>
              <w:rPr>
                <w:b/>
                <w:color w:val="FFFFFF"/>
                <w:sz w:val="17"/>
              </w:rPr>
              <w:t>How it works</w:t>
            </w:r>
          </w:p>
        </w:tc>
        <w:tc>
          <w:tcPr>
            <w:tcW w:type="dxa" w:w="3744"/>
            <w:shd w:fill="18304A"/>
            <w:tcMar>
              <w:top w:w="90" w:type="dxa"/>
              <w:start w:w="110" w:type="dxa"/>
              <w:bottom w:w="90" w:type="dxa"/>
              <w:end w:w="110" w:type="dxa"/>
            </w:tcMar>
            <w:vAlign w:val="center"/>
          </w:tcPr>
          <w:p>
            <w:pPr>
              <w:jc w:val="left"/>
            </w:pPr>
            <w:r>
              <w:rPr>
                <w:b/>
                <w:color w:val="FFFFFF"/>
                <w:sz w:val="17"/>
              </w:rPr>
              <w:t>Why built this way</w:t>
            </w:r>
          </w:p>
        </w:tc>
      </w:tr>
      <w:tr>
        <w:tc>
          <w:tcPr>
            <w:tcW w:type="dxa" w:w="2736"/>
            <w:tcMar>
              <w:top w:w="90" w:type="dxa"/>
              <w:start w:w="100" w:type="dxa"/>
              <w:bottom w:w="90" w:type="dxa"/>
              <w:end w:w="100" w:type="dxa"/>
            </w:tcMar>
            <w:vAlign w:val="center"/>
          </w:tcPr>
          <w:p>
            <w:pPr>
              <w:spacing w:after="0"/>
            </w:pPr>
            <w:r>
              <w:rPr>
                <w:color w:val="22272B"/>
                <w:sz w:val="17"/>
              </w:rPr>
              <w:t>Generalize the trust patterns from the earlier demos into a reusable service contract for future RAVEN features.</w:t>
            </w:r>
          </w:p>
        </w:tc>
        <w:tc>
          <w:tcPr>
            <w:tcW w:type="dxa" w:w="3744"/>
            <w:tcMar>
              <w:top w:w="90" w:type="dxa"/>
              <w:start w:w="100" w:type="dxa"/>
              <w:bottom w:w="90" w:type="dxa"/>
              <w:end w:w="100" w:type="dxa"/>
            </w:tcMar>
            <w:vAlign w:val="center"/>
          </w:tcPr>
          <w:p>
            <w:pPr>
              <w:spacing w:after="0"/>
            </w:pPr>
            <w:r>
              <w:rPr>
                <w:color w:val="22272B"/>
                <w:sz w:val="17"/>
              </w:rPr>
              <w:t>The XaaS endpoint returns matched rules, source records, conformal uncertainty, subgroup metrics from a model-card database, and a disagreement endpoint. An integration simulator shows multiple caller payloads using the same explanation card.</w:t>
            </w:r>
          </w:p>
        </w:tc>
        <w:tc>
          <w:tcPr>
            <w:tcW w:type="dxa" w:w="3744"/>
            <w:tcMar>
              <w:top w:w="90" w:type="dxa"/>
              <w:start w:w="100" w:type="dxa"/>
              <w:bottom w:w="90" w:type="dxa"/>
              <w:end w:w="100" w:type="dxa"/>
            </w:tcMar>
            <w:vAlign w:val="center"/>
          </w:tcPr>
          <w:p>
            <w:pPr>
              <w:spacing w:after="0"/>
            </w:pPr>
            <w:r>
              <w:rPr>
                <w:color w:val="22272B"/>
                <w:sz w:val="17"/>
              </w:rPr>
              <w:t>A shared explanation service reduces duplicated logic and makes future features trustworthy by construction. The design treats uncertainty, fairness freshness, provenance, and recourse as infrastructure rather than optional UI additions.</w:t>
            </w:r>
          </w:p>
        </w:tc>
      </w:tr>
    </w:tbl>
    <w:p>
      <w:pPr>
        <w:spacing w:after="20"/>
      </w:pPr>
    </w:p>
    <w:p>
      <w:pPr>
        <w:pStyle w:val="Heading1"/>
      </w:pPr>
      <w:r>
        <w:t>9. Implementation and Technology Choices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944"/>
            <w:shd w:fill="18304A"/>
            <w:tcMar>
              <w:top w:w="90" w:type="dxa"/>
              <w:start w:w="110" w:type="dxa"/>
              <w:bottom w:w="90" w:type="dxa"/>
              <w:end w:w="110" w:type="dxa"/>
            </w:tcMar>
            <w:vAlign w:val="center"/>
          </w:tcPr>
          <w:p>
            <w:pPr>
              <w:jc w:val="left"/>
            </w:pPr>
            <w:r>
              <w:rPr>
                <w:b/>
                <w:color w:val="FFFFFF"/>
                <w:sz w:val="17"/>
              </w:rPr>
              <w:t>Choice</w:t>
            </w:r>
          </w:p>
        </w:tc>
        <w:tc>
          <w:tcPr>
            <w:tcW w:type="dxa" w:w="3168"/>
            <w:shd w:fill="18304A"/>
            <w:tcMar>
              <w:top w:w="90" w:type="dxa"/>
              <w:start w:w="110" w:type="dxa"/>
              <w:bottom w:w="90" w:type="dxa"/>
              <w:end w:w="110" w:type="dxa"/>
            </w:tcMar>
            <w:vAlign w:val="center"/>
          </w:tcPr>
          <w:p>
            <w:pPr>
              <w:jc w:val="left"/>
            </w:pPr>
            <w:r>
              <w:rPr>
                <w:b/>
                <w:color w:val="FFFFFF"/>
                <w:sz w:val="17"/>
              </w:rPr>
              <w:t>Implementation</w:t>
            </w:r>
          </w:p>
        </w:tc>
        <w:tc>
          <w:tcPr>
            <w:tcW w:type="dxa" w:w="5112"/>
            <w:shd w:fill="18304A"/>
            <w:tcMar>
              <w:top w:w="90" w:type="dxa"/>
              <w:start w:w="110" w:type="dxa"/>
              <w:bottom w:w="90" w:type="dxa"/>
              <w:end w:w="110" w:type="dxa"/>
            </w:tcMar>
            <w:vAlign w:val="center"/>
          </w:tcPr>
          <w:p>
            <w:pPr>
              <w:jc w:val="left"/>
            </w:pPr>
            <w:r>
              <w:rPr>
                <w:b/>
                <w:color w:val="FFFFFF"/>
                <w:sz w:val="17"/>
              </w:rPr>
              <w:t>Reason / effect</w:t>
            </w:r>
          </w:p>
        </w:tc>
      </w:tr>
      <w:tr>
        <w:tc>
          <w:tcPr>
            <w:tcW w:type="dxa" w:w="1944"/>
            <w:tcMar>
              <w:top w:w="90" w:type="dxa"/>
              <w:start w:w="100" w:type="dxa"/>
              <w:bottom w:w="90" w:type="dxa"/>
              <w:end w:w="100" w:type="dxa"/>
            </w:tcMar>
            <w:vAlign w:val="center"/>
          </w:tcPr>
          <w:p>
            <w:pPr>
              <w:spacing w:after="0"/>
            </w:pPr>
            <w:r>
              <w:rPr>
                <w:color w:val="22272B"/>
                <w:sz w:val="17"/>
              </w:rPr>
              <w:t>Monorepo</w:t>
            </w:r>
          </w:p>
        </w:tc>
        <w:tc>
          <w:tcPr>
            <w:tcW w:type="dxa" w:w="3168"/>
            <w:tcMar>
              <w:top w:w="90" w:type="dxa"/>
              <w:start w:w="100" w:type="dxa"/>
              <w:bottom w:w="90" w:type="dxa"/>
              <w:end w:w="100" w:type="dxa"/>
            </w:tcMar>
            <w:vAlign w:val="center"/>
          </w:tcPr>
          <w:p>
            <w:pPr>
              <w:spacing w:after="0"/>
            </w:pPr>
            <w:r>
              <w:rPr>
                <w:color w:val="22272B"/>
                <w:sz w:val="17"/>
              </w:rPr>
              <w:t>npm workspaces at the repository root</w:t>
            </w:r>
          </w:p>
        </w:tc>
        <w:tc>
          <w:tcPr>
            <w:tcW w:type="dxa" w:w="5112"/>
            <w:tcMar>
              <w:top w:w="90" w:type="dxa"/>
              <w:start w:w="100" w:type="dxa"/>
              <w:bottom w:w="90" w:type="dxa"/>
              <w:end w:w="100" w:type="dxa"/>
            </w:tcMar>
            <w:vAlign w:val="center"/>
          </w:tcPr>
          <w:p>
            <w:pPr>
              <w:spacing w:after="0"/>
            </w:pPr>
            <w:r>
              <w:rPr>
                <w:color w:val="22272B"/>
                <w:sz w:val="17"/>
              </w:rPr>
              <w:t>One source repository and one deploy while retaining four independently built front ends.</w:t>
            </w:r>
          </w:p>
        </w:tc>
      </w:tr>
      <w:tr>
        <w:tc>
          <w:tcPr>
            <w:tcW w:type="dxa" w:w="1944"/>
            <w:tcMar>
              <w:top w:w="90" w:type="dxa"/>
              <w:start w:w="100" w:type="dxa"/>
              <w:bottom w:w="90" w:type="dxa"/>
              <w:end w:w="100" w:type="dxa"/>
            </w:tcMar>
            <w:vAlign w:val="center"/>
          </w:tcPr>
          <w:p>
            <w:pPr>
              <w:spacing w:after="0"/>
            </w:pPr>
            <w:r>
              <w:rPr>
                <w:color w:val="22272B"/>
                <w:sz w:val="17"/>
              </w:rPr>
              <w:t>Front ends</w:t>
            </w:r>
          </w:p>
        </w:tc>
        <w:tc>
          <w:tcPr>
            <w:tcW w:type="dxa" w:w="3168"/>
            <w:tcMar>
              <w:top w:w="90" w:type="dxa"/>
              <w:start w:w="100" w:type="dxa"/>
              <w:bottom w:w="90" w:type="dxa"/>
              <w:end w:w="100" w:type="dxa"/>
            </w:tcMar>
            <w:vAlign w:val="center"/>
          </w:tcPr>
          <w:p>
            <w:pPr>
              <w:spacing w:after="0"/>
            </w:pPr>
            <w:r>
              <w:rPr>
                <w:color w:val="22272B"/>
                <w:sz w:val="17"/>
              </w:rPr>
              <w:t>Vite + React + TypeScript</w:t>
            </w:r>
          </w:p>
        </w:tc>
        <w:tc>
          <w:tcPr>
            <w:tcW w:type="dxa" w:w="5112"/>
            <w:tcMar>
              <w:top w:w="90" w:type="dxa"/>
              <w:start w:w="100" w:type="dxa"/>
              <w:bottom w:w="90" w:type="dxa"/>
              <w:end w:w="100" w:type="dxa"/>
            </w:tcMar>
            <w:vAlign w:val="center"/>
          </w:tcPr>
          <w:p>
            <w:pPr>
              <w:spacing w:after="0"/>
            </w:pPr>
            <w:r>
              <w:rPr>
                <w:color w:val="22272B"/>
                <w:sz w:val="17"/>
              </w:rPr>
              <w:t>Small, fast, familiar SPA toolchain suited to interactive prototypes.</w:t>
            </w:r>
          </w:p>
        </w:tc>
      </w:tr>
      <w:tr>
        <w:tc>
          <w:tcPr>
            <w:tcW w:type="dxa" w:w="1944"/>
            <w:tcMar>
              <w:top w:w="90" w:type="dxa"/>
              <w:start w:w="100" w:type="dxa"/>
              <w:bottom w:w="90" w:type="dxa"/>
              <w:end w:w="100" w:type="dxa"/>
            </w:tcMar>
            <w:vAlign w:val="center"/>
          </w:tcPr>
          <w:p>
            <w:pPr>
              <w:spacing w:after="0"/>
            </w:pPr>
            <w:r>
              <w:rPr>
                <w:color w:val="22272B"/>
                <w:sz w:val="17"/>
              </w:rPr>
              <w:t>Static platform pages</w:t>
            </w:r>
          </w:p>
        </w:tc>
        <w:tc>
          <w:tcPr>
            <w:tcW w:type="dxa" w:w="3168"/>
            <w:tcMar>
              <w:top w:w="90" w:type="dxa"/>
              <w:start w:w="100" w:type="dxa"/>
              <w:bottom w:w="90" w:type="dxa"/>
              <w:end w:w="100" w:type="dxa"/>
            </w:tcMar>
            <w:vAlign w:val="center"/>
          </w:tcPr>
          <w:p>
            <w:pPr>
              <w:spacing w:after="0"/>
            </w:pPr>
            <w:r>
              <w:rPr>
                <w:color w:val="22272B"/>
                <w:sz w:val="17"/>
              </w:rPr>
              <w:t>Plain HTML for login, pending, admin, and how-its-built</w:t>
            </w:r>
          </w:p>
        </w:tc>
        <w:tc>
          <w:tcPr>
            <w:tcW w:type="dxa" w:w="5112"/>
            <w:tcMar>
              <w:top w:w="90" w:type="dxa"/>
              <w:start w:w="100" w:type="dxa"/>
              <w:bottom w:w="90" w:type="dxa"/>
              <w:end w:w="100" w:type="dxa"/>
            </w:tcMar>
            <w:vAlign w:val="center"/>
          </w:tcPr>
          <w:p>
            <w:pPr>
              <w:spacing w:after="0"/>
            </w:pPr>
            <w:r>
              <w:rPr>
                <w:color w:val="22272B"/>
                <w:sz w:val="17"/>
              </w:rPr>
              <w:t>Avoids creating extra app bundles for pages that do not need a full framework runtime.</w:t>
            </w:r>
          </w:p>
        </w:tc>
      </w:tr>
      <w:tr>
        <w:tc>
          <w:tcPr>
            <w:tcW w:type="dxa" w:w="1944"/>
            <w:tcMar>
              <w:top w:w="90" w:type="dxa"/>
              <w:start w:w="100" w:type="dxa"/>
              <w:bottom w:w="90" w:type="dxa"/>
              <w:end w:w="100" w:type="dxa"/>
            </w:tcMar>
            <w:vAlign w:val="center"/>
          </w:tcPr>
          <w:p>
            <w:pPr>
              <w:spacing w:after="0"/>
            </w:pPr>
            <w:r>
              <w:rPr>
                <w:color w:val="22272B"/>
                <w:sz w:val="17"/>
              </w:rPr>
              <w:t>Hosting</w:t>
            </w:r>
          </w:p>
        </w:tc>
        <w:tc>
          <w:tcPr>
            <w:tcW w:type="dxa" w:w="3168"/>
            <w:tcMar>
              <w:top w:w="90" w:type="dxa"/>
              <w:start w:w="100" w:type="dxa"/>
              <w:bottom w:w="90" w:type="dxa"/>
              <w:end w:w="100" w:type="dxa"/>
            </w:tcMar>
            <w:vAlign w:val="center"/>
          </w:tcPr>
          <w:p>
            <w:pPr>
              <w:spacing w:after="0"/>
            </w:pPr>
            <w:r>
              <w:rPr>
                <w:color w:val="22272B"/>
                <w:sz w:val="17"/>
              </w:rPr>
              <w:t>Vercel</w:t>
            </w:r>
          </w:p>
        </w:tc>
        <w:tc>
          <w:tcPr>
            <w:tcW w:type="dxa" w:w="5112"/>
            <w:tcMar>
              <w:top w:w="90" w:type="dxa"/>
              <w:start w:w="100" w:type="dxa"/>
              <w:bottom w:w="90" w:type="dxa"/>
              <w:end w:w="100" w:type="dxa"/>
            </w:tcMar>
            <w:vAlign w:val="center"/>
          </w:tcPr>
          <w:p>
            <w:pPr>
              <w:spacing w:after="0"/>
            </w:pPr>
            <w:r>
              <w:rPr>
                <w:color w:val="22272B"/>
                <w:sz w:val="17"/>
              </w:rPr>
              <w:t>Combines static deployment, rewrites, Edge Middleware, serverless API routes, and deployment metadata.</w:t>
            </w:r>
          </w:p>
        </w:tc>
      </w:tr>
      <w:tr>
        <w:tc>
          <w:tcPr>
            <w:tcW w:type="dxa" w:w="1944"/>
            <w:tcMar>
              <w:top w:w="90" w:type="dxa"/>
              <w:start w:w="100" w:type="dxa"/>
              <w:bottom w:w="90" w:type="dxa"/>
              <w:end w:w="100" w:type="dxa"/>
            </w:tcMar>
            <w:vAlign w:val="center"/>
          </w:tcPr>
          <w:p>
            <w:pPr>
              <w:spacing w:after="0"/>
            </w:pPr>
            <w:r>
              <w:rPr>
                <w:color w:val="22272B"/>
                <w:sz w:val="17"/>
              </w:rPr>
              <w:t>Database</w:t>
            </w:r>
          </w:p>
        </w:tc>
        <w:tc>
          <w:tcPr>
            <w:tcW w:type="dxa" w:w="3168"/>
            <w:tcMar>
              <w:top w:w="90" w:type="dxa"/>
              <w:start w:w="100" w:type="dxa"/>
              <w:bottom w:w="90" w:type="dxa"/>
              <w:end w:w="100" w:type="dxa"/>
            </w:tcMar>
            <w:vAlign w:val="center"/>
          </w:tcPr>
          <w:p>
            <w:pPr>
              <w:spacing w:after="0"/>
            </w:pPr>
            <w:r>
              <w:rPr>
                <w:color w:val="22272B"/>
                <w:sz w:val="17"/>
              </w:rPr>
              <w:t>Neon Postgres via @neondatabase/serverless</w:t>
            </w:r>
          </w:p>
        </w:tc>
        <w:tc>
          <w:tcPr>
            <w:tcW w:type="dxa" w:w="5112"/>
            <w:tcMar>
              <w:top w:w="90" w:type="dxa"/>
              <w:start w:w="100" w:type="dxa"/>
              <w:bottom w:w="90" w:type="dxa"/>
              <w:end w:w="100" w:type="dxa"/>
            </w:tcMar>
            <w:vAlign w:val="center"/>
          </w:tcPr>
          <w:p>
            <w:pPr>
              <w:spacing w:after="0"/>
            </w:pPr>
            <w:r>
              <w:rPr>
                <w:color w:val="22272B"/>
                <w:sz w:val="17"/>
              </w:rPr>
              <w:t>Serverless-friendly persistence without operating a database server in the demo.</w:t>
            </w:r>
          </w:p>
        </w:tc>
      </w:tr>
      <w:tr>
        <w:tc>
          <w:tcPr>
            <w:tcW w:type="dxa" w:w="1944"/>
            <w:tcMar>
              <w:top w:w="90" w:type="dxa"/>
              <w:start w:w="100" w:type="dxa"/>
              <w:bottom w:w="90" w:type="dxa"/>
              <w:end w:w="100" w:type="dxa"/>
            </w:tcMar>
            <w:vAlign w:val="center"/>
          </w:tcPr>
          <w:p>
            <w:pPr>
              <w:spacing w:after="0"/>
            </w:pPr>
            <w:r>
              <w:rPr>
                <w:color w:val="22272B"/>
                <w:sz w:val="17"/>
              </w:rPr>
              <w:t>Sessions</w:t>
            </w:r>
          </w:p>
        </w:tc>
        <w:tc>
          <w:tcPr>
            <w:tcW w:type="dxa" w:w="3168"/>
            <w:tcMar>
              <w:top w:w="90" w:type="dxa"/>
              <w:start w:w="100" w:type="dxa"/>
              <w:bottom w:w="90" w:type="dxa"/>
              <w:end w:w="100" w:type="dxa"/>
            </w:tcMar>
            <w:vAlign w:val="center"/>
          </w:tcPr>
          <w:p>
            <w:pPr>
              <w:spacing w:after="0"/>
            </w:pPr>
            <w:r>
              <w:rPr>
                <w:color w:val="22272B"/>
                <w:sz w:val="17"/>
              </w:rPr>
              <w:t>Signed JWT-like session token in an HTTP-only cookie</w:t>
            </w:r>
          </w:p>
        </w:tc>
        <w:tc>
          <w:tcPr>
            <w:tcW w:type="dxa" w:w="5112"/>
            <w:tcMar>
              <w:top w:w="90" w:type="dxa"/>
              <w:start w:w="100" w:type="dxa"/>
              <w:bottom w:w="90" w:type="dxa"/>
              <w:end w:w="100" w:type="dxa"/>
            </w:tcMar>
            <w:vAlign w:val="center"/>
          </w:tcPr>
          <w:p>
            <w:pPr>
              <w:spacing w:after="0"/>
            </w:pPr>
            <w:r>
              <w:rPr>
                <w:color w:val="22272B"/>
                <w:sz w:val="17"/>
              </w:rPr>
              <w:t>No server-side session store; simple read path for Edge Middleware and API authorization.</w:t>
            </w:r>
          </w:p>
        </w:tc>
      </w:tr>
      <w:tr>
        <w:tc>
          <w:tcPr>
            <w:tcW w:type="dxa" w:w="1944"/>
            <w:tcMar>
              <w:top w:w="90" w:type="dxa"/>
              <w:start w:w="100" w:type="dxa"/>
              <w:bottom w:w="90" w:type="dxa"/>
              <w:end w:w="100" w:type="dxa"/>
            </w:tcMar>
            <w:vAlign w:val="center"/>
          </w:tcPr>
          <w:p>
            <w:pPr>
              <w:spacing w:after="0"/>
            </w:pPr>
            <w:r>
              <w:rPr>
                <w:color w:val="22272B"/>
                <w:sz w:val="17"/>
              </w:rPr>
              <w:t>JWT crypto</w:t>
            </w:r>
          </w:p>
        </w:tc>
        <w:tc>
          <w:tcPr>
            <w:tcW w:type="dxa" w:w="3168"/>
            <w:tcMar>
              <w:top w:w="90" w:type="dxa"/>
              <w:start w:w="100" w:type="dxa"/>
              <w:bottom w:w="90" w:type="dxa"/>
              <w:end w:w="100" w:type="dxa"/>
            </w:tcMar>
            <w:vAlign w:val="center"/>
          </w:tcPr>
          <w:p>
            <w:pPr>
              <w:spacing w:after="0"/>
            </w:pPr>
            <w:r>
              <w:rPr>
                <w:color w:val="22272B"/>
                <w:sz w:val="17"/>
              </w:rPr>
              <w:t>Web Crypto API rather than third-party JOSE package</w:t>
            </w:r>
          </w:p>
        </w:tc>
        <w:tc>
          <w:tcPr>
            <w:tcW w:type="dxa" w:w="5112"/>
            <w:tcMar>
              <w:top w:w="90" w:type="dxa"/>
              <w:start w:w="100" w:type="dxa"/>
              <w:bottom w:w="90" w:type="dxa"/>
              <w:end w:w="100" w:type="dxa"/>
            </w:tcMar>
            <w:vAlign w:val="center"/>
          </w:tcPr>
          <w:p>
            <w:pPr>
              <w:spacing w:after="0"/>
            </w:pPr>
            <w:r>
              <w:rPr>
                <w:color w:val="22272B"/>
                <w:sz w:val="17"/>
              </w:rPr>
              <w:t>Works in both Edge and serverless runtimes and avoids the ESM/CommonJS deployment failure previously observed.</w:t>
            </w:r>
          </w:p>
        </w:tc>
      </w:tr>
      <w:tr>
        <w:tc>
          <w:tcPr>
            <w:tcW w:type="dxa" w:w="1944"/>
            <w:tcMar>
              <w:top w:w="90" w:type="dxa"/>
              <w:start w:w="100" w:type="dxa"/>
              <w:bottom w:w="90" w:type="dxa"/>
              <w:end w:w="100" w:type="dxa"/>
            </w:tcMar>
            <w:vAlign w:val="center"/>
          </w:tcPr>
          <w:p>
            <w:pPr>
              <w:spacing w:after="0"/>
            </w:pPr>
            <w:r>
              <w:rPr>
                <w:color w:val="22272B"/>
                <w:sz w:val="17"/>
              </w:rPr>
              <w:t>Content configuration</w:t>
            </w:r>
          </w:p>
        </w:tc>
        <w:tc>
          <w:tcPr>
            <w:tcW w:type="dxa" w:w="3168"/>
            <w:tcMar>
              <w:top w:w="90" w:type="dxa"/>
              <w:start w:w="100" w:type="dxa"/>
              <w:bottom w:w="90" w:type="dxa"/>
              <w:end w:w="100" w:type="dxa"/>
            </w:tcMar>
            <w:vAlign w:val="center"/>
          </w:tcPr>
          <w:p>
            <w:pPr>
              <w:spacing w:after="0"/>
            </w:pPr>
            <w:r>
              <w:rPr>
                <w:color w:val="22272B"/>
                <w:sz w:val="17"/>
              </w:rPr>
              <w:t>Source-controlled manifest + Postgres overrides</w:t>
            </w:r>
          </w:p>
        </w:tc>
        <w:tc>
          <w:tcPr>
            <w:tcW w:type="dxa" w:w="5112"/>
            <w:tcMar>
              <w:top w:w="90" w:type="dxa"/>
              <w:start w:w="100" w:type="dxa"/>
              <w:bottom w:w="90" w:type="dxa"/>
              <w:end w:w="100" w:type="dxa"/>
            </w:tcMar>
            <w:vAlign w:val="center"/>
          </w:tcPr>
          <w:p>
            <w:pPr>
              <w:spacing w:after="0"/>
            </w:pPr>
            <w:r>
              <w:rPr>
                <w:color w:val="22272B"/>
                <w:sz w:val="17"/>
              </w:rPr>
              <w:t>Keeps defaults reviewable in code while allowing no-deploy edits for evaluator copy.</w:t>
            </w:r>
          </w:p>
        </w:tc>
      </w:tr>
    </w:tbl>
    <w:p>
      <w:pPr>
        <w:spacing w:after="20"/>
      </w:pPr>
    </w:p>
    <w:p>
      <w:pPr>
        <w:pStyle w:val="Heading1"/>
      </w:pPr>
      <w:r>
        <w:t>10. Build and Deployment Model</w:t>
      </w:r>
    </w:p>
    <w:p>
      <w:r>
        <w:t>The root package defines four npm workspaces. The root build removes the previous dist directory, builds every workspace, copies each app output into a dedicated subdirectory, then copies the static login, pending, admin, and how-its-built pages. Vercel serves dist as the output directory and rewrites friendly paths to the corresponding index files.</w:t>
      </w:r>
    </w:p>
    <w:p>
      <w:pPr>
        <w:pStyle w:val="Code"/>
      </w:pPr>
      <w:r>
        <w:t>npm run build  →  dist/{demo1,demo2,demo3,demo4,login,pending,admin,how-its-built}</w:t>
      </w:r>
    </w:p>
    <w:p>
      <w:pPr>
        <w:pStyle w:val="Code"/>
      </w:pPr>
      <w:r>
        <w:t>Vercel Edge Middleware  →  session gate for /, demos, /admin, /how-its-built</w:t>
      </w:r>
    </w:p>
    <w:p>
      <w:pPr>
        <w:pStyle w:val="Code"/>
      </w:pPr>
      <w:r>
        <w:t>Vercel Functions        →  /api/*</w:t>
      </w:r>
    </w:p>
    <w:p>
      <w:pPr>
        <w:pStyle w:val="Code"/>
      </w:pPr>
      <w:r>
        <w:t>Neon Postgres           →  durable platform/demo state</w:t>
      </w:r>
    </w:p>
    <w:tbl>
      <w:tblPr>
        <w:tblW w:type="auto" w:w="0"/>
        <w:jc w:val="center"/>
        <w:tblLook w:firstColumn="1" w:firstRow="1" w:lastColumn="0" w:lastRow="0" w:noHBand="0" w:noVBand="1" w:val="04A0"/>
      </w:tblPr>
      <w:tblGrid>
        <w:gridCol w:w="9994"/>
      </w:tblGrid>
      <w:tr>
        <w:tc>
          <w:tcPr>
            <w:tcW w:type="dxa" w:w="9994"/>
            <w:shd w:fill="EEF5F6"/>
            <w:tcMar>
              <w:top w:w="130" w:type="dxa"/>
              <w:start w:w="160" w:type="dxa"/>
              <w:bottom w:w="130" w:type="dxa"/>
              <w:end w:w="160" w:type="dxa"/>
            </w:tcMar>
            <w:tcBorders>
              <w:left w:val="single" w:sz="24" w:color="007078"/>
            </w:tcBorders>
          </w:tcPr>
          <w:p>
            <w:pPr>
              <w:spacing w:after="60"/>
            </w:pPr>
            <w:r>
              <w:rPr>
                <w:b/>
                <w:color w:val="007078"/>
                <w:sz w:val="21"/>
              </w:rPr>
              <w:t>Operational implication</w:t>
            </w:r>
          </w:p>
          <w:p>
            <w:pPr>
              <w:spacing w:after="0"/>
            </w:pPr>
            <w:r>
              <w:t>A Vercel deployment reporting “Ready” proves the build completed, not that every serverless function can execute. The repository’s incident notes therefore emphasize runtime checks, clean handler-level error responses, and live status signals.</w:t>
            </w:r>
          </w:p>
        </w:tc>
      </w:tr>
    </w:tbl>
    <w:p>
      <w:pPr>
        <w:spacing w:after="20"/>
      </w:pPr>
    </w:p>
    <w:p>
      <w:pPr>
        <w:pStyle w:val="Heading1"/>
      </w:pPr>
      <w:r>
        <w:t>11. Security and Access-Control Model</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88"/>
            <w:shd w:fill="18304A"/>
            <w:tcMar>
              <w:top w:w="90" w:type="dxa"/>
              <w:start w:w="110" w:type="dxa"/>
              <w:bottom w:w="90" w:type="dxa"/>
              <w:end w:w="110" w:type="dxa"/>
            </w:tcMar>
            <w:vAlign w:val="center"/>
          </w:tcPr>
          <w:p>
            <w:pPr>
              <w:jc w:val="left"/>
            </w:pPr>
            <w:r>
              <w:rPr>
                <w:b/>
                <w:color w:val="FFFFFF"/>
                <w:sz w:val="17"/>
              </w:rPr>
              <w:t>Control</w:t>
            </w:r>
          </w:p>
        </w:tc>
        <w:tc>
          <w:tcPr>
            <w:tcW w:type="dxa" w:w="3672"/>
            <w:shd w:fill="18304A"/>
            <w:tcMar>
              <w:top w:w="90" w:type="dxa"/>
              <w:start w:w="110" w:type="dxa"/>
              <w:bottom w:w="90" w:type="dxa"/>
              <w:end w:w="110" w:type="dxa"/>
            </w:tcMar>
            <w:vAlign w:val="center"/>
          </w:tcPr>
          <w:p>
            <w:pPr>
              <w:jc w:val="left"/>
            </w:pPr>
            <w:r>
              <w:rPr>
                <w:b/>
                <w:color w:val="FFFFFF"/>
                <w:sz w:val="17"/>
              </w:rPr>
              <w:t>Current implementation</w:t>
            </w:r>
          </w:p>
        </w:tc>
        <w:tc>
          <w:tcPr>
            <w:tcW w:type="dxa" w:w="4464"/>
            <w:shd w:fill="18304A"/>
            <w:tcMar>
              <w:top w:w="90" w:type="dxa"/>
              <w:start w:w="110" w:type="dxa"/>
              <w:bottom w:w="90" w:type="dxa"/>
              <w:end w:w="110" w:type="dxa"/>
            </w:tcMar>
            <w:vAlign w:val="center"/>
          </w:tcPr>
          <w:p>
            <w:pPr>
              <w:jc w:val="left"/>
            </w:pPr>
            <w:r>
              <w:rPr>
                <w:b/>
                <w:color w:val="FFFFFF"/>
                <w:sz w:val="17"/>
              </w:rPr>
              <w:t>Design implication</w:t>
            </w:r>
          </w:p>
        </w:tc>
      </w:tr>
      <w:tr>
        <w:tc>
          <w:tcPr>
            <w:tcW w:type="dxa" w:w="2088"/>
            <w:tcMar>
              <w:top w:w="90" w:type="dxa"/>
              <w:start w:w="100" w:type="dxa"/>
              <w:bottom w:w="90" w:type="dxa"/>
              <w:end w:w="100" w:type="dxa"/>
            </w:tcMar>
            <w:vAlign w:val="center"/>
          </w:tcPr>
          <w:p>
            <w:pPr>
              <w:spacing w:after="0"/>
            </w:pPr>
            <w:r>
              <w:rPr>
                <w:color w:val="22272B"/>
                <w:sz w:val="17"/>
              </w:rPr>
              <w:t>Identity</w:t>
            </w:r>
          </w:p>
        </w:tc>
        <w:tc>
          <w:tcPr>
            <w:tcW w:type="dxa" w:w="3672"/>
            <w:tcMar>
              <w:top w:w="90" w:type="dxa"/>
              <w:start w:w="100" w:type="dxa"/>
              <w:bottom w:w="90" w:type="dxa"/>
              <w:end w:w="100" w:type="dxa"/>
            </w:tcMar>
            <w:vAlign w:val="center"/>
          </w:tcPr>
          <w:p>
            <w:pPr>
              <w:spacing w:after="0"/>
            </w:pPr>
            <w:r>
              <w:rPr>
                <w:color w:val="22272B"/>
                <w:sz w:val="17"/>
              </w:rPr>
              <w:t>Google OAuth 2.0 / Google ID token verification</w:t>
            </w:r>
          </w:p>
        </w:tc>
        <w:tc>
          <w:tcPr>
            <w:tcW w:type="dxa" w:w="4464"/>
            <w:tcMar>
              <w:top w:w="90" w:type="dxa"/>
              <w:start w:w="100" w:type="dxa"/>
              <w:bottom w:w="90" w:type="dxa"/>
              <w:end w:w="100" w:type="dxa"/>
            </w:tcMar>
            <w:vAlign w:val="center"/>
          </w:tcPr>
          <w:p>
            <w:pPr>
              <w:spacing w:after="0"/>
            </w:pPr>
            <w:r>
              <w:rPr>
                <w:color w:val="22272B"/>
                <w:sz w:val="17"/>
              </w:rPr>
              <w:t>Uses an external identity provider; the application does not manage passwords.</w:t>
            </w:r>
          </w:p>
        </w:tc>
      </w:tr>
      <w:tr>
        <w:tc>
          <w:tcPr>
            <w:tcW w:type="dxa" w:w="2088"/>
            <w:tcMar>
              <w:top w:w="90" w:type="dxa"/>
              <w:start w:w="100" w:type="dxa"/>
              <w:bottom w:w="90" w:type="dxa"/>
              <w:end w:w="100" w:type="dxa"/>
            </w:tcMar>
            <w:vAlign w:val="center"/>
          </w:tcPr>
          <w:p>
            <w:pPr>
              <w:spacing w:after="0"/>
            </w:pPr>
            <w:r>
              <w:rPr>
                <w:color w:val="22272B"/>
                <w:sz w:val="17"/>
              </w:rPr>
              <w:t>Approval</w:t>
            </w:r>
          </w:p>
        </w:tc>
        <w:tc>
          <w:tcPr>
            <w:tcW w:type="dxa" w:w="3672"/>
            <w:tcMar>
              <w:top w:w="90" w:type="dxa"/>
              <w:start w:w="100" w:type="dxa"/>
              <w:bottom w:w="90" w:type="dxa"/>
              <w:end w:w="100" w:type="dxa"/>
            </w:tcMar>
            <w:vAlign w:val="center"/>
          </w:tcPr>
          <w:p>
            <w:pPr>
              <w:spacing w:after="0"/>
            </w:pPr>
            <w:r>
              <w:rPr>
                <w:color w:val="22272B"/>
                <w:sz w:val="17"/>
              </w:rPr>
              <w:t>Pending / approved / revoked user records; ADMIN_EMAILS bootstrap</w:t>
            </w:r>
          </w:p>
        </w:tc>
        <w:tc>
          <w:tcPr>
            <w:tcW w:type="dxa" w:w="4464"/>
            <w:tcMar>
              <w:top w:w="90" w:type="dxa"/>
              <w:start w:w="100" w:type="dxa"/>
              <w:bottom w:w="90" w:type="dxa"/>
              <w:end w:w="100" w:type="dxa"/>
            </w:tcMar>
            <w:vAlign w:val="center"/>
          </w:tcPr>
          <w:p>
            <w:pPr>
              <w:spacing w:after="0"/>
            </w:pPr>
            <w:r>
              <w:rPr>
                <w:color w:val="22272B"/>
                <w:sz w:val="17"/>
              </w:rPr>
              <w:t>Separates identity proof from authorization to view the demo.</w:t>
            </w:r>
          </w:p>
        </w:tc>
      </w:tr>
      <w:tr>
        <w:tc>
          <w:tcPr>
            <w:tcW w:type="dxa" w:w="2088"/>
            <w:tcMar>
              <w:top w:w="90" w:type="dxa"/>
              <w:start w:w="100" w:type="dxa"/>
              <w:bottom w:w="90" w:type="dxa"/>
              <w:end w:w="100" w:type="dxa"/>
            </w:tcMar>
            <w:vAlign w:val="center"/>
          </w:tcPr>
          <w:p>
            <w:pPr>
              <w:spacing w:after="0"/>
            </w:pPr>
            <w:r>
              <w:rPr>
                <w:color w:val="22272B"/>
                <w:sz w:val="17"/>
              </w:rPr>
              <w:t>Session protection</w:t>
            </w:r>
          </w:p>
        </w:tc>
        <w:tc>
          <w:tcPr>
            <w:tcW w:type="dxa" w:w="3672"/>
            <w:tcMar>
              <w:top w:w="90" w:type="dxa"/>
              <w:start w:w="100" w:type="dxa"/>
              <w:bottom w:w="90" w:type="dxa"/>
              <w:end w:w="100" w:type="dxa"/>
            </w:tcMar>
            <w:vAlign w:val="center"/>
          </w:tcPr>
          <w:p>
            <w:pPr>
              <w:spacing w:after="0"/>
            </w:pPr>
            <w:r>
              <w:rPr>
                <w:color w:val="22272B"/>
                <w:sz w:val="17"/>
              </w:rPr>
              <w:t>HTTP-only signed cookie; middleware verification</w:t>
            </w:r>
          </w:p>
        </w:tc>
        <w:tc>
          <w:tcPr>
            <w:tcW w:type="dxa" w:w="4464"/>
            <w:tcMar>
              <w:top w:w="90" w:type="dxa"/>
              <w:start w:w="100" w:type="dxa"/>
              <w:bottom w:w="90" w:type="dxa"/>
              <w:end w:w="100" w:type="dxa"/>
            </w:tcMar>
            <w:vAlign w:val="center"/>
          </w:tcPr>
          <w:p>
            <w:pPr>
              <w:spacing w:after="0"/>
            </w:pPr>
            <w:r>
              <w:rPr>
                <w:color w:val="22272B"/>
                <w:sz w:val="17"/>
              </w:rPr>
              <w:t>Keeps token out of client JavaScript and enables route gating.</w:t>
            </w:r>
          </w:p>
        </w:tc>
      </w:tr>
      <w:tr>
        <w:tc>
          <w:tcPr>
            <w:tcW w:type="dxa" w:w="2088"/>
            <w:tcMar>
              <w:top w:w="90" w:type="dxa"/>
              <w:start w:w="100" w:type="dxa"/>
              <w:bottom w:w="90" w:type="dxa"/>
              <w:end w:w="100" w:type="dxa"/>
            </w:tcMar>
            <w:vAlign w:val="center"/>
          </w:tcPr>
          <w:p>
            <w:pPr>
              <w:spacing w:after="0"/>
            </w:pPr>
            <w:r>
              <w:rPr>
                <w:color w:val="22272B"/>
                <w:sz w:val="17"/>
              </w:rPr>
              <w:t>Admin authorization</w:t>
            </w:r>
          </w:p>
        </w:tc>
        <w:tc>
          <w:tcPr>
            <w:tcW w:type="dxa" w:w="3672"/>
            <w:tcMar>
              <w:top w:w="90" w:type="dxa"/>
              <w:start w:w="100" w:type="dxa"/>
              <w:bottom w:w="90" w:type="dxa"/>
              <w:end w:w="100" w:type="dxa"/>
            </w:tcMar>
            <w:vAlign w:val="center"/>
          </w:tcPr>
          <w:p>
            <w:pPr>
              <w:spacing w:after="0"/>
            </w:pPr>
            <w:r>
              <w:rPr>
                <w:color w:val="22272B"/>
                <w:sz w:val="17"/>
              </w:rPr>
              <w:t>Role check in middleware and requireAdmin-style API controls</w:t>
            </w:r>
          </w:p>
        </w:tc>
        <w:tc>
          <w:tcPr>
            <w:tcW w:type="dxa" w:w="4464"/>
            <w:tcMar>
              <w:top w:w="90" w:type="dxa"/>
              <w:start w:w="100" w:type="dxa"/>
              <w:bottom w:w="90" w:type="dxa"/>
              <w:end w:w="100" w:type="dxa"/>
            </w:tcMar>
            <w:vAlign w:val="center"/>
          </w:tcPr>
          <w:p>
            <w:pPr>
              <w:spacing w:after="0"/>
            </w:pPr>
            <w:r>
              <w:rPr>
                <w:color w:val="22272B"/>
                <w:sz w:val="17"/>
              </w:rPr>
              <w:t>Prevents non-admin users from accessing privileged UI and write operations.</w:t>
            </w:r>
          </w:p>
        </w:tc>
      </w:tr>
      <w:tr>
        <w:tc>
          <w:tcPr>
            <w:tcW w:type="dxa" w:w="2088"/>
            <w:tcMar>
              <w:top w:w="90" w:type="dxa"/>
              <w:start w:w="100" w:type="dxa"/>
              <w:bottom w:w="90" w:type="dxa"/>
              <w:end w:w="100" w:type="dxa"/>
            </w:tcMar>
            <w:vAlign w:val="center"/>
          </w:tcPr>
          <w:p>
            <w:pPr>
              <w:spacing w:after="0"/>
            </w:pPr>
            <w:r>
              <w:rPr>
                <w:color w:val="22272B"/>
                <w:sz w:val="17"/>
              </w:rPr>
              <w:t>Secret handling</w:t>
            </w:r>
          </w:p>
        </w:tc>
        <w:tc>
          <w:tcPr>
            <w:tcW w:type="dxa" w:w="3672"/>
            <w:tcMar>
              <w:top w:w="90" w:type="dxa"/>
              <w:start w:w="100" w:type="dxa"/>
              <w:bottom w:w="90" w:type="dxa"/>
              <w:end w:w="100" w:type="dxa"/>
            </w:tcMar>
            <w:vAlign w:val="center"/>
          </w:tcPr>
          <w:p>
            <w:pPr>
              <w:spacing w:after="0"/>
            </w:pPr>
            <w:r>
              <w:rPr>
                <w:color w:val="22272B"/>
                <w:sz w:val="17"/>
              </w:rPr>
              <w:t>Environment variables in Vercel</w:t>
            </w:r>
          </w:p>
        </w:tc>
        <w:tc>
          <w:tcPr>
            <w:tcW w:type="dxa" w:w="4464"/>
            <w:tcMar>
              <w:top w:w="90" w:type="dxa"/>
              <w:start w:w="100" w:type="dxa"/>
              <w:bottom w:w="90" w:type="dxa"/>
              <w:end w:w="100" w:type="dxa"/>
            </w:tcMar>
            <w:vAlign w:val="center"/>
          </w:tcPr>
          <w:p>
            <w:pPr>
              <w:spacing w:after="0"/>
            </w:pPr>
            <w:r>
              <w:rPr>
                <w:color w:val="22272B"/>
                <w:sz w:val="17"/>
              </w:rPr>
              <w:t>Client secrets and DB credentials are not committed to the repo.</w:t>
            </w:r>
          </w:p>
        </w:tc>
      </w:tr>
      <w:tr>
        <w:tc>
          <w:tcPr>
            <w:tcW w:type="dxa" w:w="2088"/>
            <w:tcMar>
              <w:top w:w="90" w:type="dxa"/>
              <w:start w:w="100" w:type="dxa"/>
              <w:bottom w:w="90" w:type="dxa"/>
              <w:end w:w="100" w:type="dxa"/>
            </w:tcMar>
            <w:vAlign w:val="center"/>
          </w:tcPr>
          <w:p>
            <w:pPr>
              <w:spacing w:after="0"/>
            </w:pPr>
            <w:r>
              <w:rPr>
                <w:color w:val="22272B"/>
                <w:sz w:val="17"/>
              </w:rPr>
              <w:t>Status endpoint</w:t>
            </w:r>
          </w:p>
        </w:tc>
        <w:tc>
          <w:tcPr>
            <w:tcW w:type="dxa" w:w="3672"/>
            <w:tcMar>
              <w:top w:w="90" w:type="dxa"/>
              <w:start w:w="100" w:type="dxa"/>
              <w:bottom w:w="90" w:type="dxa"/>
              <w:end w:w="100" w:type="dxa"/>
            </w:tcMar>
            <w:vAlign w:val="center"/>
          </w:tcPr>
          <w:p>
            <w:pPr>
              <w:spacing w:after="0"/>
            </w:pPr>
            <w:r>
              <w:rPr>
                <w:color w:val="22272B"/>
                <w:sz w:val="17"/>
              </w:rPr>
              <w:t>Reports only boolean configuration presence and deployment metadata</w:t>
            </w:r>
          </w:p>
        </w:tc>
        <w:tc>
          <w:tcPr>
            <w:tcW w:type="dxa" w:w="4464"/>
            <w:tcMar>
              <w:top w:w="90" w:type="dxa"/>
              <w:start w:w="100" w:type="dxa"/>
              <w:bottom w:w="90" w:type="dxa"/>
              <w:end w:w="100" w:type="dxa"/>
            </w:tcMar>
            <w:vAlign w:val="center"/>
          </w:tcPr>
          <w:p>
            <w:pPr>
              <w:spacing w:after="0"/>
            </w:pPr>
            <w:r>
              <w:rPr>
                <w:color w:val="22272B"/>
                <w:sz w:val="17"/>
              </w:rPr>
              <w:t>Supports observability without exposing secret values.</w:t>
            </w:r>
          </w:p>
        </w:tc>
      </w:tr>
    </w:tbl>
    <w:p>
      <w:pPr>
        <w:spacing w:after="20"/>
      </w:pPr>
    </w:p>
    <w:p>
      <w:pPr>
        <w:pStyle w:val="Heading2"/>
      </w:pPr>
      <w:r>
        <w:t>11.1 Known security limitations</w:t>
      </w:r>
    </w:p>
    <w:p>
      <w:pPr>
        <w:pStyle w:val="ListBullet"/>
        <w:spacing w:after="40"/>
      </w:pPr>
      <w:r>
        <w:t>Session cookies are valid for seven days and encode role/status at sign-in. Revoking a user blocks the next login but does not invalidate an already-issued cookie immediately.</w:t>
      </w:r>
    </w:p>
    <w:p>
      <w:pPr>
        <w:pStyle w:val="ListBullet"/>
        <w:spacing w:after="40"/>
      </w:pPr>
      <w:r>
        <w:t>Admin POST actions rely on SameSite=Lax cookie behavior and do not use a dedicated CSRF token.</w:t>
      </w:r>
    </w:p>
    <w:p>
      <w:pPr>
        <w:pStyle w:val="ListBullet"/>
        <w:spacing w:after="40"/>
      </w:pPr>
      <w:r>
        <w:t>The reviewer invitation flow pre-approves an email address but does not send an invitation email.</w:t>
      </w:r>
    </w:p>
    <w:p>
      <w:pPr>
        <w:pStyle w:val="ListBullet"/>
        <w:spacing w:after="40"/>
      </w:pPr>
      <w:r>
        <w:t>Preview deployment URLs require explicit Google OAuth redirect registration to support sign-in.</w:t>
      </w:r>
    </w:p>
    <w:p>
      <w:pPr>
        <w:pStyle w:val="Heading1"/>
      </w:pPr>
      <w:r>
        <w:t>12. Why It Is Built This Way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88"/>
            <w:shd w:fill="18304A"/>
            <w:tcMar>
              <w:top w:w="90" w:type="dxa"/>
              <w:start w:w="110" w:type="dxa"/>
              <w:bottom w:w="90" w:type="dxa"/>
              <w:end w:w="110" w:type="dxa"/>
            </w:tcMar>
            <w:vAlign w:val="center"/>
          </w:tcPr>
          <w:p>
            <w:pPr>
              <w:jc w:val="left"/>
            </w:pPr>
            <w:r>
              <w:rPr>
                <w:b/>
                <w:color w:val="FFFFFF"/>
                <w:sz w:val="16"/>
              </w:rPr>
              <w:t>Design decision</w:t>
            </w:r>
          </w:p>
        </w:tc>
        <w:tc>
          <w:tcPr>
            <w:tcW w:type="dxa" w:w="4320"/>
            <w:shd w:fill="18304A"/>
            <w:tcMar>
              <w:top w:w="90" w:type="dxa"/>
              <w:start w:w="110" w:type="dxa"/>
              <w:bottom w:w="90" w:type="dxa"/>
              <w:end w:w="110" w:type="dxa"/>
            </w:tcMar>
            <w:vAlign w:val="center"/>
          </w:tcPr>
          <w:p>
            <w:pPr>
              <w:jc w:val="left"/>
            </w:pPr>
            <w:r>
              <w:rPr>
                <w:b/>
                <w:color w:val="FFFFFF"/>
                <w:sz w:val="16"/>
              </w:rPr>
              <w:t>Rationale</w:t>
            </w:r>
          </w:p>
        </w:tc>
        <w:tc>
          <w:tcPr>
            <w:tcW w:type="dxa" w:w="3816"/>
            <w:shd w:fill="18304A"/>
            <w:tcMar>
              <w:top w:w="90" w:type="dxa"/>
              <w:start w:w="110" w:type="dxa"/>
              <w:bottom w:w="90" w:type="dxa"/>
              <w:end w:w="110" w:type="dxa"/>
            </w:tcMar>
            <w:vAlign w:val="center"/>
          </w:tcPr>
          <w:p>
            <w:pPr>
              <w:jc w:val="left"/>
            </w:pPr>
            <w:r>
              <w:rPr>
                <w:b/>
                <w:color w:val="FFFFFF"/>
                <w:sz w:val="16"/>
              </w:rPr>
              <w:t>Tradeoff</w:t>
            </w:r>
          </w:p>
        </w:tc>
      </w:tr>
      <w:tr>
        <w:tc>
          <w:tcPr>
            <w:tcW w:type="dxa" w:w="2088"/>
            <w:tcMar>
              <w:top w:w="90" w:type="dxa"/>
              <w:start w:w="100" w:type="dxa"/>
              <w:bottom w:w="90" w:type="dxa"/>
              <w:end w:w="100" w:type="dxa"/>
            </w:tcMar>
            <w:vAlign w:val="center"/>
          </w:tcPr>
          <w:p>
            <w:pPr>
              <w:spacing w:after="0"/>
            </w:pPr>
            <w:r>
              <w:rPr>
                <w:color w:val="22272B"/>
                <w:sz w:val="16"/>
              </w:rPr>
              <w:t>One deploy, four apps</w:t>
            </w:r>
          </w:p>
        </w:tc>
        <w:tc>
          <w:tcPr>
            <w:tcW w:type="dxa" w:w="4320"/>
            <w:tcMar>
              <w:top w:w="90" w:type="dxa"/>
              <w:start w:w="100" w:type="dxa"/>
              <w:bottom w:w="90" w:type="dxa"/>
              <w:end w:w="100" w:type="dxa"/>
            </w:tcMar>
            <w:vAlign w:val="center"/>
          </w:tcPr>
          <w:p>
            <w:pPr>
              <w:spacing w:after="0"/>
            </w:pPr>
            <w:r>
              <w:rPr>
                <w:color w:val="22272B"/>
                <w:sz w:val="16"/>
              </w:rPr>
              <w:t>Simplifies evaluator access and keeps demonstrations under one auth boundary.</w:t>
            </w:r>
          </w:p>
        </w:tc>
        <w:tc>
          <w:tcPr>
            <w:tcW w:type="dxa" w:w="3816"/>
            <w:tcMar>
              <w:top w:w="90" w:type="dxa"/>
              <w:start w:w="100" w:type="dxa"/>
              <w:bottom w:w="90" w:type="dxa"/>
              <w:end w:w="100" w:type="dxa"/>
            </w:tcMar>
            <w:vAlign w:val="center"/>
          </w:tcPr>
          <w:p>
            <w:pPr>
              <w:spacing w:after="0"/>
            </w:pPr>
            <w:r>
              <w:rPr>
                <w:color w:val="22272B"/>
                <w:sz w:val="16"/>
              </w:rPr>
              <w:t>Root build copies artifacts and creates some manual assembly logic.</w:t>
            </w:r>
          </w:p>
        </w:tc>
      </w:tr>
      <w:tr>
        <w:tc>
          <w:tcPr>
            <w:tcW w:type="dxa" w:w="2088"/>
            <w:tcMar>
              <w:top w:w="90" w:type="dxa"/>
              <w:start w:w="100" w:type="dxa"/>
              <w:bottom w:w="90" w:type="dxa"/>
              <w:end w:w="100" w:type="dxa"/>
            </w:tcMar>
            <w:vAlign w:val="center"/>
          </w:tcPr>
          <w:p>
            <w:pPr>
              <w:spacing w:after="0"/>
            </w:pPr>
            <w:r>
              <w:rPr>
                <w:color w:val="22272B"/>
                <w:sz w:val="16"/>
              </w:rPr>
              <w:t>Interactive proof over static narrative</w:t>
            </w:r>
          </w:p>
        </w:tc>
        <w:tc>
          <w:tcPr>
            <w:tcW w:type="dxa" w:w="4320"/>
            <w:tcMar>
              <w:top w:w="90" w:type="dxa"/>
              <w:start w:w="100" w:type="dxa"/>
              <w:bottom w:w="90" w:type="dxa"/>
              <w:end w:w="100" w:type="dxa"/>
            </w:tcMar>
            <w:vAlign w:val="center"/>
          </w:tcPr>
          <w:p>
            <w:pPr>
              <w:spacing w:after="0"/>
            </w:pPr>
            <w:r>
              <w:rPr>
                <w:color w:val="22272B"/>
                <w:sz w:val="16"/>
              </w:rPr>
              <w:t>Makes resilience, accessibility, governance, and explainability testable by a reviewer.</w:t>
            </w:r>
          </w:p>
        </w:tc>
        <w:tc>
          <w:tcPr>
            <w:tcW w:type="dxa" w:w="3816"/>
            <w:tcMar>
              <w:top w:w="90" w:type="dxa"/>
              <w:start w:w="100" w:type="dxa"/>
              <w:bottom w:w="90" w:type="dxa"/>
              <w:end w:w="100" w:type="dxa"/>
            </w:tcMar>
            <w:vAlign w:val="center"/>
          </w:tcPr>
          <w:p>
            <w:pPr>
              <w:spacing w:after="0"/>
            </w:pPr>
            <w:r>
              <w:rPr>
                <w:color w:val="22272B"/>
                <w:sz w:val="16"/>
              </w:rPr>
              <w:t>Demo code includes instrumentation and simulator behavior that production UIs may not expose.</w:t>
            </w:r>
          </w:p>
        </w:tc>
      </w:tr>
      <w:tr>
        <w:tc>
          <w:tcPr>
            <w:tcW w:type="dxa" w:w="2088"/>
            <w:tcMar>
              <w:top w:w="90" w:type="dxa"/>
              <w:start w:w="100" w:type="dxa"/>
              <w:bottom w:w="90" w:type="dxa"/>
              <w:end w:w="100" w:type="dxa"/>
            </w:tcMar>
            <w:vAlign w:val="center"/>
          </w:tcPr>
          <w:p>
            <w:pPr>
              <w:spacing w:after="0"/>
            </w:pPr>
            <w:r>
              <w:rPr>
                <w:color w:val="22272B"/>
                <w:sz w:val="16"/>
              </w:rPr>
              <w:t>Static-first UI + serverless control plane</w:t>
            </w:r>
          </w:p>
        </w:tc>
        <w:tc>
          <w:tcPr>
            <w:tcW w:type="dxa" w:w="4320"/>
            <w:tcMar>
              <w:top w:w="90" w:type="dxa"/>
              <w:start w:w="100" w:type="dxa"/>
              <w:bottom w:w="90" w:type="dxa"/>
              <w:end w:w="100" w:type="dxa"/>
            </w:tcMar>
            <w:vAlign w:val="center"/>
          </w:tcPr>
          <w:p>
            <w:pPr>
              <w:spacing w:after="0"/>
            </w:pPr>
            <w:r>
              <w:rPr>
                <w:color w:val="22272B"/>
                <w:sz w:val="16"/>
              </w:rPr>
              <w:t>Keeps deployment simple while retaining real identity, persistence, and API behavior.</w:t>
            </w:r>
          </w:p>
        </w:tc>
        <w:tc>
          <w:tcPr>
            <w:tcW w:type="dxa" w:w="3816"/>
            <w:tcMar>
              <w:top w:w="90" w:type="dxa"/>
              <w:start w:w="100" w:type="dxa"/>
              <w:bottom w:w="90" w:type="dxa"/>
              <w:end w:w="100" w:type="dxa"/>
            </w:tcMar>
            <w:vAlign w:val="center"/>
          </w:tcPr>
          <w:p>
            <w:pPr>
              <w:spacing w:after="0"/>
            </w:pPr>
            <w:r>
              <w:rPr>
                <w:color w:val="22272B"/>
                <w:sz w:val="16"/>
              </w:rPr>
              <w:t>Not a direct representation of a long-running enterprise service topology.</w:t>
            </w:r>
          </w:p>
        </w:tc>
      </w:tr>
      <w:tr>
        <w:tc>
          <w:tcPr>
            <w:tcW w:type="dxa" w:w="2088"/>
            <w:tcMar>
              <w:top w:w="90" w:type="dxa"/>
              <w:start w:w="100" w:type="dxa"/>
              <w:bottom w:w="90" w:type="dxa"/>
              <w:end w:w="100" w:type="dxa"/>
            </w:tcMar>
            <w:vAlign w:val="center"/>
          </w:tcPr>
          <w:p>
            <w:pPr>
              <w:spacing w:after="0"/>
            </w:pPr>
            <w:r>
              <w:rPr>
                <w:color w:val="22272B"/>
                <w:sz w:val="16"/>
              </w:rPr>
              <w:t>Shared XaaS contract</w:t>
            </w:r>
          </w:p>
        </w:tc>
        <w:tc>
          <w:tcPr>
            <w:tcW w:type="dxa" w:w="4320"/>
            <w:tcMar>
              <w:top w:w="90" w:type="dxa"/>
              <w:start w:w="100" w:type="dxa"/>
              <w:bottom w:w="90" w:type="dxa"/>
              <w:end w:w="100" w:type="dxa"/>
            </w:tcMar>
            <w:vAlign w:val="center"/>
          </w:tcPr>
          <w:p>
            <w:pPr>
              <w:spacing w:after="0"/>
            </w:pPr>
            <w:r>
              <w:rPr>
                <w:color w:val="22272B"/>
                <w:sz w:val="16"/>
              </w:rPr>
              <w:t>Centralizes explanation, fairness, uncertainty, provenance, and recourse.</w:t>
            </w:r>
          </w:p>
        </w:tc>
        <w:tc>
          <w:tcPr>
            <w:tcW w:type="dxa" w:w="3816"/>
            <w:tcMar>
              <w:top w:w="90" w:type="dxa"/>
              <w:start w:w="100" w:type="dxa"/>
              <w:bottom w:w="90" w:type="dxa"/>
              <w:end w:w="100" w:type="dxa"/>
            </w:tcMar>
            <w:vAlign w:val="center"/>
          </w:tcPr>
          <w:p>
            <w:pPr>
              <w:spacing w:after="0"/>
            </w:pPr>
            <w:r>
              <w:rPr>
                <w:color w:val="22272B"/>
                <w:sz w:val="16"/>
              </w:rPr>
              <w:t>Phase 0 data and routing remain partly synthetic/mock until integrated with production systems.</w:t>
            </w:r>
          </w:p>
        </w:tc>
      </w:tr>
      <w:tr>
        <w:tc>
          <w:tcPr>
            <w:tcW w:type="dxa" w:w="2088"/>
            <w:tcMar>
              <w:top w:w="90" w:type="dxa"/>
              <w:start w:w="100" w:type="dxa"/>
              <w:bottom w:w="90" w:type="dxa"/>
              <w:end w:w="100" w:type="dxa"/>
            </w:tcMar>
            <w:vAlign w:val="center"/>
          </w:tcPr>
          <w:p>
            <w:pPr>
              <w:spacing w:after="0"/>
            </w:pPr>
            <w:r>
              <w:rPr>
                <w:color w:val="22272B"/>
                <w:sz w:val="16"/>
              </w:rPr>
              <w:t>Signed stateless session</w:t>
            </w:r>
          </w:p>
        </w:tc>
        <w:tc>
          <w:tcPr>
            <w:tcW w:type="dxa" w:w="4320"/>
            <w:tcMar>
              <w:top w:w="90" w:type="dxa"/>
              <w:start w:w="100" w:type="dxa"/>
              <w:bottom w:w="90" w:type="dxa"/>
              <w:end w:w="100" w:type="dxa"/>
            </w:tcMar>
            <w:vAlign w:val="center"/>
          </w:tcPr>
          <w:p>
            <w:pPr>
              <w:spacing w:after="0"/>
            </w:pPr>
            <w:r>
              <w:rPr>
                <w:color w:val="22272B"/>
                <w:sz w:val="16"/>
              </w:rPr>
              <w:t>Works across Edge and API routes without session storage.</w:t>
            </w:r>
          </w:p>
        </w:tc>
        <w:tc>
          <w:tcPr>
            <w:tcW w:type="dxa" w:w="3816"/>
            <w:tcMar>
              <w:top w:w="90" w:type="dxa"/>
              <w:start w:w="100" w:type="dxa"/>
              <w:bottom w:w="90" w:type="dxa"/>
              <w:end w:w="100" w:type="dxa"/>
            </w:tcMar>
            <w:vAlign w:val="center"/>
          </w:tcPr>
          <w:p>
            <w:pPr>
              <w:spacing w:after="0"/>
            </w:pPr>
            <w:r>
              <w:rPr>
                <w:color w:val="22272B"/>
                <w:sz w:val="16"/>
              </w:rPr>
              <w:t>Immediate revocation is not possible without additional server-side invalidation.</w:t>
            </w:r>
          </w:p>
        </w:tc>
      </w:tr>
      <w:tr>
        <w:tc>
          <w:tcPr>
            <w:tcW w:type="dxa" w:w="2088"/>
            <w:tcMar>
              <w:top w:w="90" w:type="dxa"/>
              <w:start w:w="100" w:type="dxa"/>
              <w:bottom w:w="90" w:type="dxa"/>
              <w:end w:w="100" w:type="dxa"/>
            </w:tcMar>
            <w:vAlign w:val="center"/>
          </w:tcPr>
          <w:p>
            <w:pPr>
              <w:spacing w:after="0"/>
            </w:pPr>
            <w:r>
              <w:rPr>
                <w:color w:val="22272B"/>
                <w:sz w:val="16"/>
              </w:rPr>
              <w:t>Web Crypto implementation</w:t>
            </w:r>
          </w:p>
        </w:tc>
        <w:tc>
          <w:tcPr>
            <w:tcW w:type="dxa" w:w="4320"/>
            <w:tcMar>
              <w:top w:w="90" w:type="dxa"/>
              <w:start w:w="100" w:type="dxa"/>
              <w:bottom w:w="90" w:type="dxa"/>
              <w:end w:w="100" w:type="dxa"/>
            </w:tcMar>
            <w:vAlign w:val="center"/>
          </w:tcPr>
          <w:p>
            <w:pPr>
              <w:spacing w:after="0"/>
            </w:pPr>
            <w:r>
              <w:rPr>
                <w:color w:val="22272B"/>
                <w:sz w:val="16"/>
              </w:rPr>
              <w:t>Runtime-agnostic and removes a problematic ESM-only dependency.</w:t>
            </w:r>
          </w:p>
        </w:tc>
        <w:tc>
          <w:tcPr>
            <w:tcW w:type="dxa" w:w="3816"/>
            <w:tcMar>
              <w:top w:w="90" w:type="dxa"/>
              <w:start w:w="100" w:type="dxa"/>
              <w:bottom w:w="90" w:type="dxa"/>
              <w:end w:w="100" w:type="dxa"/>
            </w:tcMar>
            <w:vAlign w:val="center"/>
          </w:tcPr>
          <w:p>
            <w:pPr>
              <w:spacing w:after="0"/>
            </w:pPr>
            <w:r>
              <w:rPr>
                <w:color w:val="22272B"/>
                <w:sz w:val="16"/>
              </w:rPr>
              <w:t>Requires maintaining custom token code rather than relying on a mature JOSE library.</w:t>
            </w:r>
          </w:p>
        </w:tc>
      </w:tr>
      <w:tr>
        <w:tc>
          <w:tcPr>
            <w:tcW w:type="dxa" w:w="2088"/>
            <w:tcMar>
              <w:top w:w="90" w:type="dxa"/>
              <w:start w:w="100" w:type="dxa"/>
              <w:bottom w:w="90" w:type="dxa"/>
              <w:end w:w="100" w:type="dxa"/>
            </w:tcMar>
            <w:vAlign w:val="center"/>
          </w:tcPr>
          <w:p>
            <w:pPr>
              <w:spacing w:after="0"/>
            </w:pPr>
            <w:r>
              <w:rPr>
                <w:color w:val="22272B"/>
                <w:sz w:val="16"/>
              </w:rPr>
              <w:t>Editable content overrides</w:t>
            </w:r>
          </w:p>
        </w:tc>
        <w:tc>
          <w:tcPr>
            <w:tcW w:type="dxa" w:w="4320"/>
            <w:tcMar>
              <w:top w:w="90" w:type="dxa"/>
              <w:start w:w="100" w:type="dxa"/>
              <w:bottom w:w="90" w:type="dxa"/>
              <w:end w:w="100" w:type="dxa"/>
            </w:tcMar>
            <w:vAlign w:val="center"/>
          </w:tcPr>
          <w:p>
            <w:pPr>
              <w:spacing w:after="0"/>
            </w:pPr>
            <w:r>
              <w:rPr>
                <w:color w:val="22272B"/>
                <w:sz w:val="16"/>
              </w:rPr>
              <w:t>Supports evaluator messaging changes without redeploy.</w:t>
            </w:r>
          </w:p>
        </w:tc>
        <w:tc>
          <w:tcPr>
            <w:tcW w:type="dxa" w:w="3816"/>
            <w:tcMar>
              <w:top w:w="90" w:type="dxa"/>
              <w:start w:w="100" w:type="dxa"/>
              <w:bottom w:w="90" w:type="dxa"/>
              <w:end w:w="100" w:type="dxa"/>
            </w:tcMar>
            <w:vAlign w:val="center"/>
          </w:tcPr>
          <w:p>
            <w:pPr>
              <w:spacing w:after="0"/>
            </w:pPr>
            <w:r>
              <w:rPr>
                <w:color w:val="22272B"/>
                <w:sz w:val="16"/>
              </w:rPr>
              <w:t>Adds a content key/manifest contract and admin surface that must remain synchronized.</w:t>
            </w:r>
          </w:p>
        </w:tc>
      </w:tr>
    </w:tbl>
    <w:p>
      <w:pPr>
        <w:spacing w:after="20"/>
      </w:pPr>
    </w:p>
    <w:p>
      <w:pPr>
        <w:pStyle w:val="Heading1"/>
      </w:pPr>
      <w:r>
        <w:t>13. Live, Persisted, Simulated, and Proposed Elements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944"/>
            <w:shd w:fill="18304A"/>
            <w:tcMar>
              <w:top w:w="90" w:type="dxa"/>
              <w:start w:w="110" w:type="dxa"/>
              <w:bottom w:w="90" w:type="dxa"/>
              <w:end w:w="110" w:type="dxa"/>
            </w:tcMar>
            <w:vAlign w:val="center"/>
          </w:tcPr>
          <w:p>
            <w:pPr>
              <w:jc w:val="left"/>
            </w:pPr>
            <w:r>
              <w:rPr>
                <w:b/>
                <w:color w:val="FFFFFF"/>
                <w:sz w:val="16"/>
              </w:rPr>
              <w:t>Category</w:t>
            </w:r>
          </w:p>
        </w:tc>
        <w:tc>
          <w:tcPr>
            <w:tcW w:type="dxa" w:w="4752"/>
            <w:shd w:fill="18304A"/>
            <w:tcMar>
              <w:top w:w="90" w:type="dxa"/>
              <w:start w:w="110" w:type="dxa"/>
              <w:bottom w:w="90" w:type="dxa"/>
              <w:end w:w="110" w:type="dxa"/>
            </w:tcMar>
            <w:vAlign w:val="center"/>
          </w:tcPr>
          <w:p>
            <w:pPr>
              <w:jc w:val="left"/>
            </w:pPr>
            <w:r>
              <w:rPr>
                <w:b/>
                <w:color w:val="FFFFFF"/>
                <w:sz w:val="16"/>
              </w:rPr>
              <w:t>Examples</w:t>
            </w:r>
          </w:p>
        </w:tc>
        <w:tc>
          <w:tcPr>
            <w:tcW w:type="dxa" w:w="3528"/>
            <w:shd w:fill="18304A"/>
            <w:tcMar>
              <w:top w:w="90" w:type="dxa"/>
              <w:start w:w="110" w:type="dxa"/>
              <w:bottom w:w="90" w:type="dxa"/>
              <w:end w:w="110" w:type="dxa"/>
            </w:tcMar>
            <w:vAlign w:val="center"/>
          </w:tcPr>
          <w:p>
            <w:pPr>
              <w:jc w:val="left"/>
            </w:pPr>
            <w:r>
              <w:rPr>
                <w:b/>
                <w:color w:val="FFFFFF"/>
                <w:sz w:val="16"/>
              </w:rPr>
              <w:t>Interpretation</w:t>
            </w:r>
          </w:p>
        </w:tc>
      </w:tr>
      <w:tr>
        <w:tc>
          <w:tcPr>
            <w:tcW w:type="dxa" w:w="1944"/>
            <w:tcMar>
              <w:top w:w="90" w:type="dxa"/>
              <w:start w:w="100" w:type="dxa"/>
              <w:bottom w:w="90" w:type="dxa"/>
              <w:end w:w="100" w:type="dxa"/>
            </w:tcMar>
            <w:vAlign w:val="center"/>
          </w:tcPr>
          <w:p>
            <w:pPr>
              <w:spacing w:after="0"/>
            </w:pPr>
            <w:r>
              <w:rPr>
                <w:color w:val="22272B"/>
                <w:sz w:val="16"/>
              </w:rPr>
              <w:t>Live runtime behavior</w:t>
            </w:r>
          </w:p>
        </w:tc>
        <w:tc>
          <w:tcPr>
            <w:tcW w:type="dxa" w:w="4752"/>
            <w:tcMar>
              <w:top w:w="90" w:type="dxa"/>
              <w:start w:w="100" w:type="dxa"/>
              <w:bottom w:w="90" w:type="dxa"/>
              <w:end w:w="100" w:type="dxa"/>
            </w:tcMar>
            <w:vAlign w:val="center"/>
          </w:tcPr>
          <w:p>
            <w:pPr>
              <w:spacing w:after="0"/>
            </w:pPr>
            <w:r>
              <w:rPr>
                <w:color w:val="22272B"/>
                <w:sz w:val="16"/>
              </w:rPr>
              <w:t>Google OAuth flow, session checks, API authorization, status checks, content APIs, XaaS endpoints</w:t>
            </w:r>
          </w:p>
        </w:tc>
        <w:tc>
          <w:tcPr>
            <w:tcW w:type="dxa" w:w="3528"/>
            <w:tcMar>
              <w:top w:w="90" w:type="dxa"/>
              <w:start w:w="100" w:type="dxa"/>
              <w:bottom w:w="90" w:type="dxa"/>
              <w:end w:w="100" w:type="dxa"/>
            </w:tcMar>
            <w:vAlign w:val="center"/>
          </w:tcPr>
          <w:p>
            <w:pPr>
              <w:spacing w:after="0"/>
            </w:pPr>
            <w:r>
              <w:rPr>
                <w:color w:val="22272B"/>
                <w:sz w:val="16"/>
              </w:rPr>
              <w:t>These are executable platform behaviors in the deployed environment when required variables are configured.</w:t>
            </w:r>
          </w:p>
        </w:tc>
      </w:tr>
      <w:tr>
        <w:tc>
          <w:tcPr>
            <w:tcW w:type="dxa" w:w="1944"/>
            <w:tcMar>
              <w:top w:w="90" w:type="dxa"/>
              <w:start w:w="100" w:type="dxa"/>
              <w:bottom w:w="90" w:type="dxa"/>
              <w:end w:w="100" w:type="dxa"/>
            </w:tcMar>
            <w:vAlign w:val="center"/>
          </w:tcPr>
          <w:p>
            <w:pPr>
              <w:spacing w:after="0"/>
            </w:pPr>
            <w:r>
              <w:rPr>
                <w:color w:val="22272B"/>
                <w:sz w:val="16"/>
              </w:rPr>
              <w:t>Persisted state</w:t>
            </w:r>
          </w:p>
        </w:tc>
        <w:tc>
          <w:tcPr>
            <w:tcW w:type="dxa" w:w="4752"/>
            <w:tcMar>
              <w:top w:w="90" w:type="dxa"/>
              <w:start w:w="100" w:type="dxa"/>
              <w:bottom w:w="90" w:type="dxa"/>
              <w:end w:w="100" w:type="dxa"/>
            </w:tcMar>
            <w:vAlign w:val="center"/>
          </w:tcPr>
          <w:p>
            <w:pPr>
              <w:spacing w:after="0"/>
            </w:pPr>
            <w:r>
              <w:rPr>
                <w:color w:val="22272B"/>
                <w:sz w:val="16"/>
              </w:rPr>
              <w:t>Users, content overrides, PR entries, model-card/subgroup/calibration data, disagreement tickets</w:t>
            </w:r>
          </w:p>
        </w:tc>
        <w:tc>
          <w:tcPr>
            <w:tcW w:type="dxa" w:w="3528"/>
            <w:tcMar>
              <w:top w:w="90" w:type="dxa"/>
              <w:start w:w="100" w:type="dxa"/>
              <w:bottom w:w="90" w:type="dxa"/>
              <w:end w:w="100" w:type="dxa"/>
            </w:tcMar>
            <w:vAlign w:val="center"/>
          </w:tcPr>
          <w:p>
            <w:pPr>
              <w:spacing w:after="0"/>
            </w:pPr>
            <w:r>
              <w:rPr>
                <w:color w:val="22272B"/>
                <w:sz w:val="16"/>
              </w:rPr>
              <w:t>Stored in Neon Postgres and survives browser refreshes/deploy sessions.</w:t>
            </w:r>
          </w:p>
        </w:tc>
      </w:tr>
      <w:tr>
        <w:tc>
          <w:tcPr>
            <w:tcW w:type="dxa" w:w="1944"/>
            <w:tcMar>
              <w:top w:w="90" w:type="dxa"/>
              <w:start w:w="100" w:type="dxa"/>
              <w:bottom w:w="90" w:type="dxa"/>
              <w:end w:w="100" w:type="dxa"/>
            </w:tcMar>
            <w:vAlign w:val="center"/>
          </w:tcPr>
          <w:p>
            <w:pPr>
              <w:spacing w:after="0"/>
            </w:pPr>
            <w:r>
              <w:rPr>
                <w:color w:val="22272B"/>
                <w:sz w:val="16"/>
              </w:rPr>
              <w:t>Simulated/demo behavior</w:t>
            </w:r>
          </w:p>
        </w:tc>
        <w:tc>
          <w:tcPr>
            <w:tcW w:type="dxa" w:w="4752"/>
            <w:tcMar>
              <w:top w:w="90" w:type="dxa"/>
              <w:start w:w="100" w:type="dxa"/>
              <w:bottom w:w="90" w:type="dxa"/>
              <w:end w:w="100" w:type="dxa"/>
            </w:tcMar>
            <w:vAlign w:val="center"/>
          </w:tcPr>
          <w:p>
            <w:pPr>
              <w:spacing w:after="0"/>
            </w:pPr>
            <w:r>
              <w:rPr>
                <w:color w:val="22272B"/>
                <w:sz w:val="16"/>
              </w:rPr>
              <w:t>Lighthouse chaos scenarios, some seed datasets, caseworker/model-owner destination in Phase 0</w:t>
            </w:r>
          </w:p>
        </w:tc>
        <w:tc>
          <w:tcPr>
            <w:tcW w:type="dxa" w:w="3528"/>
            <w:tcMar>
              <w:top w:w="90" w:type="dxa"/>
              <w:start w:w="100" w:type="dxa"/>
              <w:bottom w:w="90" w:type="dxa"/>
              <w:end w:w="100" w:type="dxa"/>
            </w:tcMar>
            <w:vAlign w:val="center"/>
          </w:tcPr>
          <w:p>
            <w:pPr>
              <w:spacing w:after="0"/>
            </w:pPr>
            <w:r>
              <w:rPr>
                <w:color w:val="22272B"/>
                <w:sz w:val="16"/>
              </w:rPr>
              <w:t>Designed to prove control behavior without claiming live VA production integrations.</w:t>
            </w:r>
          </w:p>
        </w:tc>
      </w:tr>
      <w:tr>
        <w:tc>
          <w:tcPr>
            <w:tcW w:type="dxa" w:w="1944"/>
            <w:tcMar>
              <w:top w:w="90" w:type="dxa"/>
              <w:start w:w="100" w:type="dxa"/>
              <w:bottom w:w="90" w:type="dxa"/>
              <w:end w:w="100" w:type="dxa"/>
            </w:tcMar>
            <w:vAlign w:val="center"/>
          </w:tcPr>
          <w:p>
            <w:pPr>
              <w:spacing w:after="0"/>
            </w:pPr>
            <w:r>
              <w:rPr>
                <w:color w:val="22272B"/>
                <w:sz w:val="16"/>
              </w:rPr>
              <w:t>Explicitly not implemented</w:t>
            </w:r>
          </w:p>
        </w:tc>
        <w:tc>
          <w:tcPr>
            <w:tcW w:type="dxa" w:w="4752"/>
            <w:tcMar>
              <w:top w:w="90" w:type="dxa"/>
              <w:start w:w="100" w:type="dxa"/>
              <w:bottom w:w="90" w:type="dxa"/>
              <w:end w:w="100" w:type="dxa"/>
            </w:tcMar>
            <w:vAlign w:val="center"/>
          </w:tcPr>
          <w:p>
            <w:pPr>
              <w:spacing w:after="0"/>
            </w:pPr>
            <w:r>
              <w:rPr>
                <w:color w:val="22272B"/>
                <w:sz w:val="16"/>
              </w:rPr>
              <w:t>Real sandbox-api.va.gov OAuth/backend proxy; production inference/training pipeline; live caseworker CRM; multi-tenant XaaS auth/rate limiting</w:t>
            </w:r>
          </w:p>
        </w:tc>
        <w:tc>
          <w:tcPr>
            <w:tcW w:type="dxa" w:w="3528"/>
            <w:tcMar>
              <w:top w:w="90" w:type="dxa"/>
              <w:start w:w="100" w:type="dxa"/>
              <w:bottom w:w="90" w:type="dxa"/>
              <w:end w:w="100" w:type="dxa"/>
            </w:tcMar>
            <w:vAlign w:val="center"/>
          </w:tcPr>
          <w:p>
            <w:pPr>
              <w:spacing w:after="0"/>
            </w:pPr>
            <w:r>
              <w:rPr>
                <w:color w:val="22272B"/>
                <w:sz w:val="16"/>
              </w:rPr>
              <w:t>These are outside the current demo boundary and should not be represented as production capabilities.</w:t>
            </w:r>
          </w:p>
        </w:tc>
      </w:tr>
      <w:tr>
        <w:tc>
          <w:tcPr>
            <w:tcW w:type="dxa" w:w="1944"/>
            <w:tcMar>
              <w:top w:w="90" w:type="dxa"/>
              <w:start w:w="100" w:type="dxa"/>
              <w:bottom w:w="90" w:type="dxa"/>
              <w:end w:w="100" w:type="dxa"/>
            </w:tcMar>
            <w:vAlign w:val="center"/>
          </w:tcPr>
          <w:p>
            <w:pPr>
              <w:spacing w:after="0"/>
            </w:pPr>
            <w:r>
              <w:rPr>
                <w:color w:val="22272B"/>
                <w:sz w:val="16"/>
              </w:rPr>
              <w:t>Proposed future state</w:t>
            </w:r>
          </w:p>
        </w:tc>
        <w:tc>
          <w:tcPr>
            <w:tcW w:type="dxa" w:w="4752"/>
            <w:tcMar>
              <w:top w:w="90" w:type="dxa"/>
              <w:start w:w="100" w:type="dxa"/>
              <w:bottom w:w="90" w:type="dxa"/>
              <w:end w:w="100" w:type="dxa"/>
            </w:tcMar>
            <w:vAlign w:val="center"/>
          </w:tcPr>
          <w:p>
            <w:pPr>
              <w:spacing w:after="0"/>
            </w:pPr>
            <w:r>
              <w:rPr>
                <w:color w:val="22272B"/>
                <w:sz w:val="16"/>
              </w:rPr>
              <w:t>Phase 1 real calibration/monitoring ingestion; Phase 2 multi-tenant LHDI XaaS and real workflow integrations</w:t>
            </w:r>
          </w:p>
        </w:tc>
        <w:tc>
          <w:tcPr>
            <w:tcW w:type="dxa" w:w="3528"/>
            <w:tcMar>
              <w:top w:w="90" w:type="dxa"/>
              <w:start w:w="100" w:type="dxa"/>
              <w:bottom w:w="90" w:type="dxa"/>
              <w:end w:w="100" w:type="dxa"/>
            </w:tcMar>
            <w:vAlign w:val="center"/>
          </w:tcPr>
          <w:p>
            <w:pPr>
              <w:spacing w:after="0"/>
            </w:pPr>
            <w:r>
              <w:rPr>
                <w:color w:val="22272B"/>
                <w:sz w:val="16"/>
              </w:rPr>
              <w:t>Roadmap direction, not current repository behavior.</w:t>
            </w:r>
          </w:p>
        </w:tc>
      </w:tr>
    </w:tbl>
    <w:p>
      <w:pPr>
        <w:spacing w:after="20"/>
      </w:pPr>
    </w:p>
    <w:p>
      <w:pPr>
        <w:pStyle w:val="Heading1"/>
      </w:pPr>
      <w:r>
        <w:t>14. Operational Considerations</w:t>
      </w:r>
    </w:p>
    <w:p>
      <w:pPr>
        <w:pStyle w:val="ListBullet"/>
        <w:spacing w:after="40"/>
      </w:pPr>
      <w:r>
        <w:t>Environment configuration is deployment-specific. Multiple Vercel projects connected to the same repository can have different environment variables and therefore different runtime behavior.</w:t>
      </w:r>
    </w:p>
    <w:p>
      <w:pPr>
        <w:pStyle w:val="ListBullet"/>
        <w:spacing w:after="40"/>
      </w:pPr>
      <w:r>
        <w:t>Google OAuth redirect URIs are host-specific; preview environments need their own registered redirect URI if sign-in is required there.</w:t>
      </w:r>
    </w:p>
    <w:p>
      <w:pPr>
        <w:pStyle w:val="ListBullet"/>
        <w:spacing w:after="40"/>
      </w:pPr>
      <w:r>
        <w:t>Database initialization must be lazy and handler errors must be caught so missing configuration produces controlled 5xx/redirect responses instead of function crashes.</w:t>
      </w:r>
    </w:p>
    <w:p>
      <w:pPr>
        <w:pStyle w:val="ListBullet"/>
        <w:spacing w:after="40"/>
      </w:pPr>
      <w:r>
        <w:t>The /api/status endpoint provides a lightweight platform health surface: environment-variable presence, database reachability, content-system health, and Vercel deployment metadata.</w:t>
      </w:r>
    </w:p>
    <w:p>
      <w:pPr>
        <w:pStyle w:val="ListBullet"/>
        <w:spacing w:after="40"/>
      </w:pPr>
      <w:r>
        <w:t>The how-its-built page is itself part of the observability strategy: it exposes real status and real rejection paths so evaluators can see authorization and error handling operate.</w:t>
      </w:r>
    </w:p>
    <w:p>
      <w:pPr>
        <w:pStyle w:val="Heading1"/>
      </w:pPr>
      <w:r>
        <w:t>15. Productionization Considerations</w:t>
      </w:r>
    </w:p>
    <w:p>
      <w:r>
        <w:t>If the prototype becomes the starting point for a production RAVEN capability, the architecture should evolve rather than be promoted unchanged. Priority changes include:</w:t>
      </w:r>
    </w:p>
    <w:p>
      <w:pPr>
        <w:pStyle w:val="ListBullet"/>
        <w:spacing w:after="40"/>
      </w:pPr>
      <w:r>
        <w:t>Introduce server-side session invalidation or short-lived access tokens with refresh/session state so revocation takes effect promptly.</w:t>
      </w:r>
    </w:p>
    <w:p>
      <w:pPr>
        <w:pStyle w:val="ListBullet"/>
        <w:spacing w:after="40"/>
      </w:pPr>
      <w:r>
        <w:t>Add CSRF protection for privileged state-changing operations and formalize audit logging for all admin actions.</w:t>
      </w:r>
    </w:p>
    <w:p>
      <w:pPr>
        <w:pStyle w:val="ListBullet"/>
        <w:spacing w:after="40"/>
      </w:pPr>
      <w:r>
        <w:t>Add CI/CD quality gates and automated accessibility/security tests rather than relying only on demonstrator instrumentation.</w:t>
      </w:r>
    </w:p>
    <w:p>
      <w:pPr>
        <w:pStyle w:val="ListBullet"/>
        <w:spacing w:after="40"/>
      </w:pPr>
      <w:r>
        <w:t>Replace simulated Lighthouse interactions with a secure backend integration that can hold client credentials and enforce VA API policies.</w:t>
      </w:r>
    </w:p>
    <w:p>
      <w:pPr>
        <w:pStyle w:val="ListBullet"/>
        <w:spacing w:after="40"/>
      </w:pPr>
      <w:r>
        <w:t>Add API versioning, per-caller authorization, rate limiting, service-level objectives, and telemetry to XaaS before multi-team reuse.</w:t>
      </w:r>
    </w:p>
    <w:p>
      <w:pPr>
        <w:pStyle w:val="ListBullet"/>
        <w:spacing w:after="40"/>
      </w:pPr>
      <w:r>
        <w:t>Replace seeded XaaS calibration and subgroup metrics with governed production monitoring pipelines and documented data lineage.</w:t>
      </w:r>
    </w:p>
    <w:p>
      <w:pPr>
        <w:pStyle w:val="ListBullet"/>
        <w:spacing w:after="40"/>
      </w:pPr>
      <w:r>
        <w:t>Integrate disagreement tickets with the real case-management/human-review workflow and measure closure/SLA outcomes.</w:t>
      </w:r>
    </w:p>
    <w:p>
      <w:pPr>
        <w:pStyle w:val="Heading1"/>
      </w:pPr>
      <w:r>
        <w:t>16. Repository Evidence Reviewed</w:t>
      </w:r>
    </w:p>
    <w:p>
      <w:r>
        <w:t>This design analysis is grounded in the repository’s implementation and maintained documentation on the main branch, including:</w:t>
      </w:r>
    </w:p>
    <w:p>
      <w:pPr>
        <w:spacing w:after="40"/>
      </w:pPr>
      <w:r>
        <w:rPr>
          <w:b/>
          <w:color w:val="182C42"/>
          <w:sz w:val="17"/>
        </w:rPr>
        <w:t xml:space="preserve">README.md — </w:t>
      </w:r>
      <w:r>
        <w:rPr>
          <w:color w:val="22272B"/>
          <w:sz w:val="17"/>
        </w:rPr>
        <w:t>Repository scope, four demos, known simplifications, access control, run/deploy model.</w:t>
      </w:r>
    </w:p>
    <w:p>
      <w:pPr>
        <w:spacing w:after="40"/>
      </w:pPr>
      <w:r>
        <w:rPr>
          <w:b/>
          <w:color w:val="182C42"/>
          <w:sz w:val="17"/>
        </w:rPr>
        <w:t xml:space="preserve">USER_GUIDE.md — </w:t>
      </w:r>
      <w:r>
        <w:rPr>
          <w:color w:val="22272B"/>
          <w:sz w:val="17"/>
        </w:rPr>
        <w:t>Evaluator workflow, how-its-built page, admin-editable content, local and production usage.</w:t>
      </w:r>
    </w:p>
    <w:p>
      <w:pPr>
        <w:spacing w:after="40"/>
      </w:pPr>
      <w:r>
        <w:rPr>
          <w:b/>
          <w:color w:val="182C42"/>
          <w:sz w:val="17"/>
        </w:rPr>
        <w:t xml:space="preserve">package.json — </w:t>
      </w:r>
      <w:r>
        <w:rPr>
          <w:color w:val="22272B"/>
          <w:sz w:val="17"/>
        </w:rPr>
        <w:t>npm workspace topology and root build assembly.</w:t>
      </w:r>
    </w:p>
    <w:p>
      <w:pPr>
        <w:spacing w:after="40"/>
      </w:pPr>
      <w:r>
        <w:rPr>
          <w:b/>
          <w:color w:val="182C42"/>
          <w:sz w:val="17"/>
        </w:rPr>
        <w:t xml:space="preserve">vercel.json — </w:t>
      </w:r>
      <w:r>
        <w:rPr>
          <w:color w:val="22272B"/>
          <w:sz w:val="17"/>
        </w:rPr>
        <w:t>Vercel build/output configuration and route rewrites.</w:t>
      </w:r>
    </w:p>
    <w:p>
      <w:pPr>
        <w:spacing w:after="40"/>
      </w:pPr>
      <w:r>
        <w:rPr>
          <w:b/>
          <w:color w:val="182C42"/>
          <w:sz w:val="17"/>
        </w:rPr>
        <w:t xml:space="preserve">middleware.ts — </w:t>
      </w:r>
      <w:r>
        <w:rPr>
          <w:color w:val="22272B"/>
          <w:sz w:val="17"/>
        </w:rPr>
        <w:t>Protected route matching, session verification, and admin redirect behavior.</w:t>
      </w:r>
    </w:p>
    <w:p>
      <w:pPr>
        <w:spacing w:after="40"/>
      </w:pPr>
      <w:r>
        <w:rPr>
          <w:b/>
          <w:color w:val="182C42"/>
          <w:sz w:val="17"/>
        </w:rPr>
        <w:t xml:space="preserve">docs/ADMIN_AUTH.md — </w:t>
      </w:r>
      <w:r>
        <w:rPr>
          <w:color w:val="22272B"/>
          <w:sz w:val="17"/>
        </w:rPr>
        <w:t>OAuth/session/database architecture, admin API behavior, incident history, content override design, known limitations.</w:t>
      </w:r>
    </w:p>
    <w:p>
      <w:pPr>
        <w:spacing w:after="40"/>
      </w:pPr>
      <w:r>
        <w:rPr>
          <w:b/>
          <w:color w:val="182C42"/>
          <w:sz w:val="17"/>
        </w:rPr>
        <w:t xml:space="preserve">docs/XAAS_STRATEGY.md — </w:t>
      </w:r>
      <w:r>
        <w:rPr>
          <w:color w:val="22272B"/>
          <w:sz w:val="17"/>
        </w:rPr>
        <w:t>XaaS purpose, contract, architecture, phases, risks, and productionization boundaries.</w:t>
      </w:r>
    </w:p>
    <w:p>
      <w:pPr>
        <w:spacing w:after="40"/>
      </w:pPr>
      <w:r>
        <w:rPr>
          <w:b/>
          <w:color w:val="182C42"/>
          <w:sz w:val="17"/>
        </w:rPr>
        <w:t xml:space="preserve">demo1-lighthouse-under-load/apps/web/package.json — </w:t>
      </w:r>
      <w:r>
        <w:rPr>
          <w:color w:val="22272B"/>
          <w:sz w:val="17"/>
        </w:rPr>
        <w:t>Representative Vite/React/TypeScript front-end stack.</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36E"/>
        <w:sz w:val="16"/>
      </w:rPr>
      <w:t>RAVEN / SQUARES — System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227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eastAsia="Aptos Display"/>
      <w:b/>
      <w:bCs/>
      <w:color w:val="182C42"/>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eastAsia="Aptos Display"/>
      <w:b/>
      <w:bCs/>
      <w:color w:val="007078"/>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eastAsia="Aptos Display"/>
      <w:b/>
      <w:color w:val="182C4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eastAsia="Aptos"/>
      <w:b w:val="0"/>
      <w:i/>
      <w:iCs/>
      <w:color w:val="59636E"/>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180" w:line="269" w:lineRule="auto"/>
    </w:pPr>
    <w:rPr>
      <w:rFonts w:ascii="Aptos" w:hAnsi="Aptos"/>
      <w:color w:val="59636E"/>
      <w:sz w:val="24"/>
    </w:rPr>
  </w:style>
  <w:style w:type="paragraph" w:customStyle="1" w:styleId="Small">
    <w:name w:val="Small"/>
    <w:rPr>
      <w:rFonts w:ascii="Aptos" w:hAnsi="Aptos"/>
      <w:color w:val="59636E"/>
      <w:sz w:val="17"/>
    </w:rPr>
  </w:style>
  <w:style w:type="paragraph" w:customStyle="1" w:styleId="Code">
    <w:name w:val="Code"/>
    <w:pPr>
      <w:spacing w:after="40"/>
    </w:pPr>
    <w:rPr>
      <w:rFonts w:ascii="Consolas" w:hAnsi="Consolas"/>
      <w:color w:val="22272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