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0.jpeg" ContentType="image/jpeg"/>
  <Override PartName="/word/media/image29.jpeg" ContentType="image/jpeg"/>
  <Override PartName="/word/media/image28.jpeg" ContentType="image/jpeg"/>
  <Override PartName="/word/media/image26.jpeg" ContentType="image/jpeg"/>
  <Override PartName="/word/media/image24.jpeg" ContentType="image/jpeg"/>
  <Override PartName="/word/media/image23.jpeg" ContentType="image/jpeg"/>
  <Override PartName="/word/media/image22.jpeg" ContentType="image/jpeg"/>
  <Override PartName="/word/media/image20.jpeg" ContentType="image/jpeg"/>
  <Override PartName="/word/media/image4.png" ContentType="image/png"/>
  <Override PartName="/word/media/image9.tif" ContentType="image/tiff"/>
  <Override PartName="/word/media/image1.tif" ContentType="image/tiff"/>
  <Override PartName="/word/media/image33.tif" ContentType="image/tiff"/>
  <Override PartName="/word/media/image32.tif" ContentType="image/tiff"/>
  <Override PartName="/word/media/image31.tif" ContentType="image/tiff"/>
  <Override PartName="/word/media/image25.tif" ContentType="image/tiff"/>
  <Override PartName="/word/media/image21.tif" ContentType="image/tiff"/>
  <Override PartName="/word/media/image12.wmf" ContentType="image/x-wmf"/>
  <Override PartName="/word/media/image27.png" ContentType="image/png"/>
  <Override PartName="/word/media/image6.jpeg" ContentType="image/jpeg"/>
  <Override PartName="/word/media/image3.jpeg" ContentType="image/jpeg"/>
  <Override PartName="/word/media/image5.jpeg" ContentType="image/jpeg"/>
  <Override PartName="/word/media/image10.png" ContentType="image/png"/>
  <Override PartName="/word/media/image2.jpeg" ContentType="image/jpeg"/>
  <Override PartName="/word/media/image7.jpeg" ContentType="image/jpeg"/>
  <Override PartName="/word/media/image8.jpeg" ContentType="image/jpeg"/>
  <Override PartName="/word/media/image14.png" ContentType="image/png"/>
  <Override PartName="/word/media/image19.jpeg" ContentType="image/jpeg"/>
  <Override PartName="/word/media/image18.jpeg" ContentType="image/jpeg"/>
  <Override PartName="/word/media/image17.jpeg" ContentType="image/jpeg"/>
  <Override PartName="/word/media/image11.jpeg" ContentType="image/jpeg"/>
  <Override PartName="/word/media/image16.jpeg" ContentType="image/jpeg"/>
  <Override PartName="/word/media/image13.jpeg" ContentType="image/jpeg"/>
  <Override PartName="/word/media/image1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Arial" w:ascii="Arial" w:hAnsi="Arial"/>
          <w:color w:val="1A1A1B"/>
          <w:sz w:val="21"/>
          <w:szCs w:val="21"/>
          <w:shd w:fill="FFFFFF" w:val="clear"/>
        </w:rPr>
        <w:t>Chapter I: Deep Origins (continued)</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jc w:val="center"/>
        <w:rPr>
          <w:rFonts w:ascii="Arial" w:hAnsi="Arial" w:cs="Arial"/>
          <w:b/>
          <w:b/>
          <w:bCs/>
          <w:color w:val="1A1A1B"/>
          <w:sz w:val="21"/>
          <w:szCs w:val="21"/>
          <w:highlight w:val="white"/>
          <w:u w:val="single"/>
        </w:rPr>
      </w:pPr>
      <w:r>
        <w:rPr>
          <w:rFonts w:cs="Arial" w:ascii="Arial" w:hAnsi="Arial"/>
          <w:b/>
          <w:bCs/>
          <w:color w:val="1A1A1B"/>
          <w:sz w:val="21"/>
          <w:szCs w:val="21"/>
          <w:u w:val="single"/>
          <w:shd w:fill="FFFFFF" w:val="clear"/>
        </w:rPr>
        <w:t>Biological Vision</w:t>
      </w:r>
    </w:p>
    <w:p>
      <w:pPr>
        <w:pStyle w:val="ListParagraph"/>
        <w:rPr>
          <w:rFonts w:ascii="Arial" w:hAnsi="Arial" w:cs="Arial"/>
          <w:color w:val="1A1A1B"/>
          <w:sz w:val="21"/>
          <w:szCs w:val="21"/>
          <w:highlight w:val="white"/>
        </w:rPr>
      </w:pPr>
      <w:r>
        <w:rPr>
          <w:rFonts w:cs="Arial" w:ascii="Arial" w:hAnsi="Arial"/>
          <w:color w:val="1A1A1B"/>
          <w:sz w:val="21"/>
          <w:szCs w:val="21"/>
          <w:shd w:fill="FFFFFF" w:val="clear"/>
        </w:rPr>
      </w:r>
    </w:p>
    <w:p>
      <w:pPr>
        <w:pStyle w:val="ListParagraph"/>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Machine Vision</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rFonts w:cs="Arial" w:ascii="Arial" w:hAnsi="Arial"/>
          <w:color w:val="1A1A1B"/>
          <w:sz w:val="21"/>
          <w:szCs w:val="21"/>
          <w:shd w:fill="FFFFFF" w:val="clear"/>
        </w:rPr>
        <w:t>Y</w:t>
      </w:r>
      <w:r>
        <w:rPr>
          <w:rFonts w:cs="Arial" w:ascii="Arial" w:hAnsi="Arial"/>
          <w:color w:val="1A1A1B"/>
          <w:sz w:val="21"/>
          <w:szCs w:val="21"/>
          <w:shd w:fill="FFFFFF" w:val="clear"/>
        </w:rPr>
        <w:t xml:space="preserve">ou might have guessed by now that we haven’t been discussing the biological visual system solely because it’s interesting (though the area is certainly fascinating!). We covered the biological visual system primarily because it serves as the </w:t>
      </w:r>
      <w:r>
        <w:rPr>
          <w:rFonts w:cs="Arial" w:ascii="Arial" w:hAnsi="Arial"/>
          <w:i/>
          <w:iCs/>
          <w:color w:val="1A1A1B"/>
          <w:sz w:val="21"/>
          <w:szCs w:val="21"/>
          <w:shd w:fill="FFFFFF" w:val="clear"/>
        </w:rPr>
        <w:t>inspiration for the modern deep learning approaches to machine vision.</w:t>
      </w:r>
      <w:r>
        <w:rPr>
          <w:rFonts w:cs="Arial" w:ascii="Arial" w:hAnsi="Arial"/>
          <w:color w:val="1A1A1B"/>
          <w:sz w:val="21"/>
          <w:szCs w:val="21"/>
          <w:shd w:fill="FFFFFF" w:val="clear"/>
        </w:rPr>
        <w:t xml:space="preserve">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4445" distL="0" distR="0">
            <wp:extent cx="2543175" cy="1722755"/>
            <wp:effectExtent l="0" t="0" r="0" b="0"/>
            <wp:docPr id="1"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5" descr="A close up of a map&#10;&#10;Description automatically generated"/>
                    <pic:cNvPicPr>
                      <a:picLocks noChangeAspect="1" noChangeArrowheads="1"/>
                    </pic:cNvPicPr>
                  </pic:nvPicPr>
                  <pic:blipFill>
                    <a:blip r:embed="rId2"/>
                    <a:stretch>
                      <a:fillRect/>
                    </a:stretch>
                  </pic:blipFill>
                  <pic:spPr bwMode="auto">
                    <a:xfrm>
                      <a:off x="0" y="0"/>
                      <a:ext cx="2543175" cy="1722755"/>
                    </a:xfrm>
                    <a:prstGeom prst="rect">
                      <a:avLst/>
                    </a:prstGeom>
                  </pic:spPr>
                </pic:pic>
              </a:graphicData>
            </a:graphic>
          </wp:inline>
        </w:drawing>
      </w:r>
      <w:r>
        <w:rPr/>
        <w:drawing>
          <wp:inline distT="0" distB="0" distL="0" distR="3175">
            <wp:extent cx="644525" cy="654050"/>
            <wp:effectExtent l="0" t="0" r="0" b="0"/>
            <wp:docPr id="2" name="Picture 56"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6" descr="Image result for writer sujatha"/>
                    <pic:cNvPicPr>
                      <a:picLocks noChangeAspect="1" noChangeArrowheads="1"/>
                    </pic:cNvPicPr>
                  </pic:nvPicPr>
                  <pic:blipFill>
                    <a:blip r:embed="rId3"/>
                    <a:stretch>
                      <a:fillRect/>
                    </a:stretch>
                  </pic:blipFill>
                  <pic:spPr bwMode="auto">
                    <a:xfrm flipH="1">
                      <a:off x="0" y="0"/>
                      <a:ext cx="644525" cy="654050"/>
                    </a:xfrm>
                    <a:prstGeom prst="rect">
                      <a:avLst/>
                    </a:prstGeom>
                  </pic:spPr>
                </pic:pic>
              </a:graphicData>
            </a:graphic>
          </wp:inline>
        </w:drawing>
      </w:r>
      <w:r>
        <w:rPr>
          <w:rFonts w:cs="Arial" w:ascii="Arial" w:hAnsi="Arial"/>
          <w:color w:val="1A1A1B"/>
          <w:sz w:val="21"/>
          <w:szCs w:val="21"/>
          <w:shd w:fill="FFFFFF" w:val="clear"/>
        </w:rPr>
        <w:t xml:space="preserve"> </w:t>
      </w:r>
      <w:r>
        <w:rPr>
          <w:rFonts w:cs="Calibri Light" w:ascii="Calibri Light" w:hAnsi="Calibri Light" w:asciiTheme="majorHAnsi" w:cstheme="majorHAnsi" w:hAnsiTheme="majorHAnsi"/>
          <w:i/>
          <w:iCs/>
          <w:color w:val="1A1A1B"/>
          <w:sz w:val="18"/>
          <w:szCs w:val="18"/>
          <w:shd w:fill="FFFFFF" w:val="clear"/>
        </w:rPr>
        <w:t xml:space="preserve">This figure provides a historical timeline of vision in biological organisms as well as machines. The top line, in blue, highlights the development of vision in trilobites as well as Hubel and Wiesel’s 1959 publication on the hierarchical nature of the primary visual cortex, as covered in the preceding section. The machine vision timeline is split into two parallel streams to call attention to two alternative approaches. The middle line, in pink, represents the </w:t>
      </w:r>
      <w:r>
        <w:rPr>
          <w:rFonts w:cs="Calibri Light" w:ascii="Calibri Light" w:hAnsi="Calibri Light" w:asciiTheme="majorHAnsi" w:cstheme="majorHAnsi" w:hAnsiTheme="majorHAnsi"/>
          <w:i/>
          <w:iCs/>
          <w:color w:val="1A1A1B"/>
          <w:sz w:val="18"/>
          <w:szCs w:val="18"/>
          <w:u w:val="single"/>
          <w:shd w:fill="FFFFFF" w:val="clear"/>
        </w:rPr>
        <w:t>deep learning (DL) path</w:t>
      </w:r>
      <w:r>
        <w:rPr>
          <w:rFonts w:cs="Calibri Light" w:ascii="Calibri Light" w:hAnsi="Calibri Light" w:asciiTheme="majorHAnsi" w:cstheme="majorHAnsi" w:hAnsiTheme="majorHAnsi"/>
          <w:i/>
          <w:iCs/>
          <w:color w:val="1A1A1B"/>
          <w:sz w:val="18"/>
          <w:szCs w:val="18"/>
          <w:shd w:fill="FFFFFF" w:val="clear"/>
        </w:rPr>
        <w:t xml:space="preserve"> that is the focus of this book. The bottom line, in purple, meanwhile represents the </w:t>
      </w:r>
      <w:r>
        <w:rPr>
          <w:rFonts w:cs="Calibri Light" w:ascii="Calibri Light" w:hAnsi="Calibri Light" w:asciiTheme="majorHAnsi" w:cstheme="majorHAnsi" w:hAnsiTheme="majorHAnsi"/>
          <w:i/>
          <w:iCs/>
          <w:color w:val="1A1A1B"/>
          <w:sz w:val="18"/>
          <w:szCs w:val="18"/>
          <w:u w:val="single"/>
          <w:shd w:fill="FFFFFF" w:val="clear"/>
        </w:rPr>
        <w:t>traditional machine learning (ML) path</w:t>
      </w:r>
      <w:r>
        <w:rPr>
          <w:rFonts w:cs="Calibri Light" w:ascii="Calibri Light" w:hAnsi="Calibri Light" w:asciiTheme="majorHAnsi" w:cstheme="majorHAnsi" w:hAnsiTheme="majorHAnsi"/>
          <w:i/>
          <w:iCs/>
          <w:color w:val="1A1A1B"/>
          <w:sz w:val="18"/>
          <w:szCs w:val="18"/>
          <w:shd w:fill="FFFFFF" w:val="clear"/>
        </w:rPr>
        <w:t xml:space="preserve"> to vision, which— through contrast— will clarify why deep learning is distinctively powerful and revolutionary.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Enter the Neocognitron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Inspired by Hubel and Wiesel’s discovery of the simple and complex cells that form the primary visual cortex hierarchy, in the late 1970s the Japanese electrical engineer Kunihiko Fukushima proposed an </w:t>
      </w:r>
      <w:r>
        <w:rPr>
          <w:rFonts w:cs="Arial" w:ascii="Arial" w:hAnsi="Arial"/>
          <w:i/>
          <w:iCs/>
          <w:color w:val="1A1A1B"/>
          <w:sz w:val="21"/>
          <w:szCs w:val="21"/>
          <w:shd w:fill="FFFFFF" w:val="clear"/>
        </w:rPr>
        <w:t>analogous architecture for</w:t>
      </w:r>
      <w:r>
        <w:rPr>
          <w:rFonts w:cs="Arial" w:ascii="Arial" w:hAnsi="Arial"/>
          <w:color w:val="1A1A1B"/>
          <w:sz w:val="21"/>
          <w:szCs w:val="21"/>
          <w:shd w:fill="FFFFFF" w:val="clear"/>
        </w:rPr>
        <w:t xml:space="preserve"> </w:t>
      </w:r>
      <w:r>
        <w:rPr>
          <w:rFonts w:cs="Arial" w:ascii="Arial" w:hAnsi="Arial"/>
          <w:i/>
          <w:iCs/>
          <w:color w:val="1A1A1B"/>
          <w:sz w:val="21"/>
          <w:szCs w:val="21"/>
          <w:shd w:fill="FFFFFF" w:val="clear"/>
        </w:rPr>
        <w:t>machine vision</w:t>
      </w:r>
      <w:r>
        <w:rPr>
          <w:rFonts w:cs="Arial" w:ascii="Arial" w:hAnsi="Arial"/>
          <w:color w:val="1A1A1B"/>
          <w:sz w:val="21"/>
          <w:szCs w:val="21"/>
          <w:shd w:fill="FFFFFF" w:val="clear"/>
        </w:rPr>
        <w:t xml:space="preserve">, which he named the neocognitron. In fact, Fukushima referred to Hubel and Wiesel’s work explicitly in his writing. His paper refers to three of their landmark articles on the organization of the primary visual cortex, including borrowing their “simple” and “complex” cell language to describe the first and second layers, respectively, of his neocognitron.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3810" distL="0" distR="3810">
            <wp:extent cx="936625" cy="936625"/>
            <wp:effectExtent l="0" t="0" r="0" b="0"/>
            <wp:docPr id="3" name="Picture 17" descr="Image result for fukushima neocogn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Image result for fukushima neocognitron"/>
                    <pic:cNvPicPr>
                      <a:picLocks noChangeAspect="1" noChangeArrowheads="1"/>
                    </pic:cNvPicPr>
                  </pic:nvPicPr>
                  <pic:blipFill>
                    <a:blip r:embed="rId4"/>
                    <a:stretch>
                      <a:fillRect/>
                    </a:stretch>
                  </pic:blipFill>
                  <pic:spPr bwMode="auto">
                    <a:xfrm>
                      <a:off x="0" y="0"/>
                      <a:ext cx="936625" cy="936625"/>
                    </a:xfrm>
                    <a:prstGeom prst="rect">
                      <a:avLst/>
                    </a:prstGeom>
                  </pic:spPr>
                </pic:pic>
              </a:graphicData>
            </a:graphic>
          </wp:inline>
        </w:drawing>
      </w:r>
      <w:r>
        <w:rPr>
          <w:rFonts w:cs="Arial" w:ascii="Arial" w:hAnsi="Arial"/>
          <w:color w:val="1A1A1B"/>
          <w:sz w:val="21"/>
          <w:szCs w:val="21"/>
          <w:shd w:fill="FFFFFF" w:val="clear"/>
        </w:rPr>
        <w:t xml:space="preserve"> </w:t>
      </w:r>
      <w:r>
        <w:rPr>
          <w:rFonts w:cs="Arial" w:ascii="Arial" w:hAnsi="Arial"/>
          <w:color w:val="1A1A1B"/>
          <w:sz w:val="21"/>
          <w:szCs w:val="21"/>
          <w:shd w:fill="FFFFFF" w:val="clear"/>
        </w:rPr>
        <w:t>Kunihiko Fukushima</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 </w:t>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t xml:space="preserve">6. Fukushima, K. (1980). Neocognitron: A self-organizing neural network model for a mechanism of pattern recognition unaffected by shift in position. Biological Cynbernetics, 36, 193– 202. </w:t>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r>
    </w:p>
    <w:p>
      <w:pPr>
        <w:pStyle w:val="Normal"/>
        <w:rPr/>
      </w:pPr>
      <w:r>
        <w:rPr/>
        <w:drawing>
          <wp:inline distT="0" distB="0" distL="0" distR="0">
            <wp:extent cx="3510280" cy="1462405"/>
            <wp:effectExtent l="0" t="0" r="0" b="0"/>
            <wp:docPr id="4" name="Picture 62" descr="Image result for Fukushima Neocogn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descr="Image result for Fukushima Neocognitron"/>
                    <pic:cNvPicPr>
                      <a:picLocks noChangeAspect="1" noChangeArrowheads="1"/>
                    </pic:cNvPicPr>
                  </pic:nvPicPr>
                  <pic:blipFill>
                    <a:blip r:embed="rId5"/>
                    <a:stretch>
                      <a:fillRect/>
                    </a:stretch>
                  </pic:blipFill>
                  <pic:spPr bwMode="auto">
                    <a:xfrm>
                      <a:off x="0" y="0"/>
                      <a:ext cx="3510280" cy="1462405"/>
                    </a:xfrm>
                    <a:prstGeom prst="rect">
                      <a:avLst/>
                    </a:prstGeom>
                  </pic:spPr>
                </pic:pic>
              </a:graphicData>
            </a:graphic>
          </wp:inline>
        </w:drawing>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r>
    </w:p>
    <w:p>
      <w:pPr>
        <w:pStyle w:val="Normal"/>
        <w:rPr/>
      </w:pPr>
      <w:r>
        <w:rPr/>
        <w:drawing>
          <wp:inline distT="0" distB="0" distL="0" distR="0">
            <wp:extent cx="628015" cy="653415"/>
            <wp:effectExtent l="0" t="0" r="0" b="0"/>
            <wp:docPr id="5" name="Picture 68"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8" descr="Image result for writer sujatha"/>
                    <pic:cNvPicPr>
                      <a:picLocks noChangeAspect="1" noChangeArrowheads="1"/>
                    </pic:cNvPicPr>
                  </pic:nvPicPr>
                  <pic:blipFill>
                    <a:blip r:embed="rId6"/>
                    <a:stretch>
                      <a:fillRect/>
                    </a:stretch>
                  </pic:blipFill>
                  <pic:spPr bwMode="auto">
                    <a:xfrm>
                      <a:off x="0" y="0"/>
                      <a:ext cx="628015" cy="653415"/>
                    </a:xfrm>
                    <a:prstGeom prst="rect">
                      <a:avLst/>
                    </a:prstGeom>
                  </pic:spPr>
                </pic:pic>
              </a:graphicData>
            </a:graphic>
          </wp:inline>
        </w:drawing>
      </w:r>
      <w:r>
        <w:rPr>
          <w:rFonts w:cs="Calibri Light" w:ascii="Calibri Light" w:hAnsi="Calibri Light" w:asciiTheme="majorHAnsi" w:cstheme="majorHAnsi" w:hAnsiTheme="majorHAnsi"/>
          <w:i/>
          <w:iCs/>
          <w:color w:val="1A1A1B"/>
          <w:sz w:val="21"/>
          <w:szCs w:val="21"/>
          <w:shd w:fill="FFFFFF" w:val="clear"/>
        </w:rPr>
        <w:t xml:space="preserve">By arranging artificial neurons in this hierarchical manner, these artificial neurons— like their biological inspiration earlier — generally represent line orientations in the cells of the layers closest to the raw visual image, while successively deeper layers represent successively complex, successively abstract objects.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LeNet-5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While the neocognitron was capable of, for example, identifying handwritten characters, the accuracy and efficiency of Yann LeCun and Yoshua Bengio’s “LeNet-5” model made it a significant development. LeNet-5’ s hierarchical architecture (Figure 1.11) built on Fukushima’s lead and the biological inspiration uncovered by Hubel and Wiesel. A key point to note here is that LeCun and his colleagues benefited from superior data for training their model, faster processing power, and, most critically, the back-propagation algorithm.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6350" distL="0" distR="0">
            <wp:extent cx="677545" cy="768350"/>
            <wp:effectExtent l="0" t="0" r="0" b="0"/>
            <wp:docPr id="6" name="Picture 16" descr="Image result for yann le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Image result for yann lecun"/>
                    <pic:cNvPicPr>
                      <a:picLocks noChangeAspect="1" noChangeArrowheads="1"/>
                    </pic:cNvPicPr>
                  </pic:nvPicPr>
                  <pic:blipFill>
                    <a:blip r:embed="rId7"/>
                    <a:stretch>
                      <a:fillRect/>
                    </a:stretch>
                  </pic:blipFill>
                  <pic:spPr bwMode="auto">
                    <a:xfrm>
                      <a:off x="0" y="0"/>
                      <a:ext cx="677545" cy="768350"/>
                    </a:xfrm>
                    <a:prstGeom prst="rect">
                      <a:avLst/>
                    </a:prstGeom>
                  </pic:spPr>
                </pic:pic>
              </a:graphicData>
            </a:graphic>
          </wp:inline>
        </w:drawing>
      </w:r>
      <w:r>
        <w:rPr/>
        <w:t xml:space="preserve"> </w:t>
      </w:r>
      <w:r>
        <w:rPr/>
        <w:drawing>
          <wp:inline distT="0" distB="3810" distL="0" distR="0">
            <wp:extent cx="958215" cy="1203325"/>
            <wp:effectExtent l="0" t="0" r="0" b="0"/>
            <wp:docPr id="7" name="Picture 64" descr="A picture containing text, newspaper, man,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A picture containing text, newspaper, man, bottle&#10;&#10;Description automatically generated"/>
                    <pic:cNvPicPr>
                      <a:picLocks noChangeAspect="1" noChangeArrowheads="1"/>
                    </pic:cNvPicPr>
                  </pic:nvPicPr>
                  <pic:blipFill>
                    <a:blip r:embed="rId8"/>
                    <a:stretch>
                      <a:fillRect/>
                    </a:stretch>
                  </pic:blipFill>
                  <pic:spPr bwMode="auto">
                    <a:xfrm>
                      <a:off x="0" y="0"/>
                      <a:ext cx="958215" cy="1203325"/>
                    </a:xfrm>
                    <a:prstGeom prst="rect">
                      <a:avLst/>
                    </a:prstGeom>
                  </pic:spPr>
                </pic:pic>
              </a:graphicData>
            </a:graphic>
          </wp:inline>
        </w:drawing>
      </w:r>
    </w:p>
    <w:p>
      <w:pPr>
        <w:pStyle w:val="Normal"/>
        <w:rPr/>
      </w:pPr>
      <w:r>
        <w:rPr>
          <w:rFonts w:cs="Arial" w:ascii="Arial" w:hAnsi="Arial"/>
          <w:color w:val="1A1A1B"/>
          <w:sz w:val="21"/>
          <w:szCs w:val="21"/>
          <w:shd w:fill="FFFFFF" w:val="clear"/>
        </w:rPr>
        <w:t xml:space="preserve">Paris-born Yann LeCun is one of the preeminent figures in artificial neural network and deep learning research. LeCun is the founding director of the New York University Center for Data Science as well as the director of AI research at the social network Facebook.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r>
    </w:p>
    <w:p>
      <w:pPr>
        <w:pStyle w:val="Normal"/>
        <w:rPr/>
      </w:pPr>
      <w:r>
        <w:rPr/>
        <w:drawing>
          <wp:inline distT="0" distB="3810" distL="0" distR="0">
            <wp:extent cx="667385" cy="771525"/>
            <wp:effectExtent l="0" t="0" r="0" b="0"/>
            <wp:docPr id="8" name="Picture 20" descr="Image result for yoshua be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Image result for yoshua bengio"/>
                    <pic:cNvPicPr>
                      <a:picLocks noChangeAspect="1" noChangeArrowheads="1"/>
                    </pic:cNvPicPr>
                  </pic:nvPicPr>
                  <pic:blipFill>
                    <a:blip r:embed="rId9"/>
                    <a:stretch>
                      <a:fillRect/>
                    </a:stretch>
                  </pic:blipFill>
                  <pic:spPr bwMode="auto">
                    <a:xfrm>
                      <a:off x="0" y="0"/>
                      <a:ext cx="667385" cy="771525"/>
                    </a:xfrm>
                    <a:prstGeom prst="rect">
                      <a:avLst/>
                    </a:prstGeom>
                  </pic:spPr>
                </pic:pic>
              </a:graphicData>
            </a:graphic>
          </wp:inline>
        </w:drawing>
      </w:r>
      <w:r>
        <w:rPr>
          <w:rFonts w:cs="Arial" w:ascii="Arial" w:hAnsi="Arial"/>
          <w:color w:val="1A1A1B"/>
          <w:sz w:val="21"/>
          <w:szCs w:val="21"/>
          <w:shd w:fill="FFFFFF" w:val="clear"/>
        </w:rPr>
        <w:t xml:space="preserve"> </w:t>
      </w:r>
      <w:r>
        <w:rPr>
          <w:rFonts w:cs="Arial" w:ascii="Arial" w:hAnsi="Arial"/>
          <w:color w:val="1A1A1B"/>
          <w:sz w:val="21"/>
          <w:szCs w:val="21"/>
          <w:shd w:fill="FFFFFF" w:val="clear"/>
        </w:rPr>
        <w:t xml:space="preserve">Yoshua Bengio is another of the leading characters in artificial neural networks and deep learning. Born in France, he is a computer science professor at the University of Montreal and codirects the renowned Machines and Brains program at the Canadian Institute for Advanced Research.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0" distL="0" distR="635">
            <wp:extent cx="2374265" cy="1123950"/>
            <wp:effectExtent l="0" t="0" r="0" b="0"/>
            <wp:docPr id="9" name="Picture 7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 descr="A close up of text on a white background&#10;&#10;Description automatically generated"/>
                    <pic:cNvPicPr>
                      <a:picLocks noChangeAspect="1" noChangeArrowheads="1"/>
                    </pic:cNvPicPr>
                  </pic:nvPicPr>
                  <pic:blipFill>
                    <a:blip r:embed="rId10"/>
                    <a:stretch>
                      <a:fillRect/>
                    </a:stretch>
                  </pic:blipFill>
                  <pic:spPr bwMode="auto">
                    <a:xfrm>
                      <a:off x="0" y="0"/>
                      <a:ext cx="2374265" cy="1123950"/>
                    </a:xfrm>
                    <a:prstGeom prst="rect">
                      <a:avLst/>
                    </a:prstGeom>
                  </pic:spPr>
                </pic:pic>
              </a:graphicData>
            </a:graphic>
          </wp:inline>
        </w:drawing>
      </w:r>
      <w:r>
        <w:rPr/>
        <w:drawing>
          <wp:inline distT="0" distB="0" distL="0" distR="0">
            <wp:extent cx="2376805" cy="1082675"/>
            <wp:effectExtent l="0" t="0" r="0" b="0"/>
            <wp:docPr id="10" name="Picture 21" descr="Image result for LeNet Simp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Image result for LeNet Simple architecture"/>
                    <pic:cNvPicPr>
                      <a:picLocks noChangeAspect="1" noChangeArrowheads="1"/>
                    </pic:cNvPicPr>
                  </pic:nvPicPr>
                  <pic:blipFill>
                    <a:blip r:embed="rId11"/>
                    <a:stretch>
                      <a:fillRect/>
                    </a:stretch>
                  </pic:blipFill>
                  <pic:spPr bwMode="auto">
                    <a:xfrm>
                      <a:off x="0" y="0"/>
                      <a:ext cx="2376805" cy="108267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0" distL="0" distR="0">
            <wp:extent cx="628015" cy="653415"/>
            <wp:effectExtent l="0" t="0" r="0" b="0"/>
            <wp:docPr id="11" name="Picture 71"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1" descr="Image result for writer sujatha"/>
                    <pic:cNvPicPr>
                      <a:picLocks noChangeAspect="1" noChangeArrowheads="1"/>
                    </pic:cNvPicPr>
                  </pic:nvPicPr>
                  <pic:blipFill>
                    <a:blip r:embed="rId12"/>
                    <a:stretch>
                      <a:fillRect/>
                    </a:stretch>
                  </pic:blipFill>
                  <pic:spPr bwMode="auto">
                    <a:xfrm>
                      <a:off x="0" y="0"/>
                      <a:ext cx="628015" cy="653415"/>
                    </a:xfrm>
                    <a:prstGeom prst="rect">
                      <a:avLst/>
                    </a:prstGeom>
                  </pic:spPr>
                </pic:pic>
              </a:graphicData>
            </a:graphic>
          </wp:inline>
        </w:drawing>
      </w:r>
      <w:r>
        <w:rPr>
          <w:rFonts w:cs="Calibri Light" w:ascii="Calibri Light" w:hAnsi="Calibri Light" w:asciiTheme="majorHAnsi" w:cstheme="majorHAnsi" w:hAnsiTheme="majorHAnsi"/>
          <w:i/>
          <w:iCs/>
          <w:color w:val="1A1A1B"/>
          <w:sz w:val="16"/>
          <w:szCs w:val="16"/>
          <w:shd w:fill="FFFFFF" w:val="clear"/>
        </w:rPr>
        <w:t xml:space="preserve"> </w:t>
      </w:r>
      <w:r>
        <w:rPr>
          <w:rFonts w:cs="Calibri Light" w:ascii="Calibri Light" w:hAnsi="Calibri Light" w:asciiTheme="majorHAnsi" w:cstheme="majorHAnsi" w:hAnsiTheme="majorHAnsi"/>
          <w:i/>
          <w:iCs/>
          <w:color w:val="1A1A1B"/>
          <w:sz w:val="18"/>
          <w:szCs w:val="18"/>
          <w:shd w:fill="FFFFFF" w:val="clear"/>
        </w:rPr>
        <w:t xml:space="preserve">The two diagrams above show two views of the same LeNet-5 architecture, the first one is a logical view and the second one is a bit more of a “technical” view. You can see how it retains the hierarchical architecture of the primary visual cortex discovered by Hubel and Wiesel and leveraged by Fukushima in his neocognitron. Similar to those systems, the leftmost layer represents simple edges, while successive layers represent increasingly complex features. By processing information in this way, a handwritten “2” should, for example, be correctly recognized as the number two (highlighted by the green output shown on the right).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Calibri Light" w:hAnsi="Calibri Light" w:cs="Calibri Light" w:asciiTheme="majorHAnsi" w:cstheme="majorHAnsi" w:hAnsiTheme="majorHAnsi"/>
          <w:color w:val="1A1A1B"/>
          <w:sz w:val="18"/>
          <w:szCs w:val="18"/>
          <w:highlight w:val="white"/>
        </w:rPr>
      </w:pPr>
      <w:r>
        <w:rPr>
          <w:rFonts w:cs="Arial" w:ascii="Arial" w:hAnsi="Arial"/>
          <w:color w:val="1A1A1B"/>
          <w:sz w:val="21"/>
          <w:szCs w:val="21"/>
          <w:shd w:fill="FFFFFF" w:val="clear"/>
        </w:rPr>
        <w:t xml:space="preserve">A figure shows the hierarchical architecture of the LeNet-5 model which has similarities of the architecture in the primary visual cortex given by Hubel and Wiesel. The architecture starts with an input image. The input image here is "numeral 2" which is sent to the next layer. This layer breaks down large simple features. The successive layers break down smaller but more complex features. The layers are represented using cuboid boxes, whose thickness decreases and length increases, as the layers increase. At the end, these become strips. The final layer gives probability outputs which recognizes the correct number and gives the output.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i/>
          <w:i/>
          <w:iCs/>
          <w:color w:val="1A1A1B"/>
          <w:sz w:val="18"/>
          <w:szCs w:val="18"/>
          <w:highlight w:val="white"/>
        </w:rPr>
      </w:pPr>
      <w:r>
        <w:rPr>
          <w:rFonts w:cs="Arial" w:ascii="Arial" w:hAnsi="Arial"/>
          <w:i/>
          <w:iCs/>
          <w:color w:val="1A1A1B"/>
          <w:sz w:val="18"/>
          <w:szCs w:val="18"/>
          <w:shd w:fill="FFFFFF" w:val="clear"/>
        </w:rPr>
        <w:t>9</w:t>
      </w:r>
      <w:r>
        <w:rPr>
          <w:rFonts w:cs="Arial" w:ascii="Arial" w:hAnsi="Arial"/>
          <w:i/>
          <w:iCs/>
          <w:color w:val="1A1A1B"/>
          <w:sz w:val="15"/>
          <w:szCs w:val="15"/>
          <w:shd w:fill="FFFFFF" w:val="clear"/>
        </w:rPr>
        <w:t xml:space="preserve">. </w:t>
      </w:r>
      <w:r>
        <w:rPr>
          <w:rFonts w:cs="Arial" w:ascii="Arial" w:hAnsi="Arial"/>
          <w:i/>
          <w:iCs/>
          <w:color w:val="1A1A1B"/>
          <w:sz w:val="18"/>
          <w:szCs w:val="18"/>
          <w:shd w:fill="FFFFFF" w:val="clear"/>
        </w:rPr>
        <w:t xml:space="preserve">Fukushima, K., &amp; Wake, N. (1991). Handwritten alphanumeric character recognition by the neocognitron. IEEE Transactions on Neural Networks, 2, 355– 65. </w:t>
      </w:r>
    </w:p>
    <w:p>
      <w:pPr>
        <w:pStyle w:val="Normal"/>
        <w:rPr>
          <w:rFonts w:ascii="Arial" w:hAnsi="Arial" w:cs="Arial"/>
          <w:i/>
          <w:i/>
          <w:iCs/>
          <w:color w:val="1A1A1B"/>
          <w:sz w:val="18"/>
          <w:szCs w:val="18"/>
          <w:highlight w:val="white"/>
        </w:rPr>
      </w:pPr>
      <w:r>
        <w:rPr>
          <w:rFonts w:cs="Arial" w:ascii="Arial" w:hAnsi="Arial"/>
          <w:i/>
          <w:iCs/>
          <w:color w:val="1A1A1B"/>
          <w:sz w:val="18"/>
          <w:szCs w:val="18"/>
          <w:shd w:fill="FFFFFF" w:val="clear"/>
        </w:rPr>
      </w:r>
    </w:p>
    <w:p>
      <w:pPr>
        <w:pStyle w:val="Normal"/>
        <w:rPr>
          <w:rFonts w:ascii="Arial" w:hAnsi="Arial" w:cs="Arial"/>
          <w:i/>
          <w:i/>
          <w:iCs/>
          <w:color w:val="1A1A1B"/>
          <w:sz w:val="18"/>
          <w:szCs w:val="18"/>
          <w:highlight w:val="white"/>
        </w:rPr>
      </w:pPr>
      <w:r>
        <w:rPr>
          <w:rFonts w:cs="Arial" w:ascii="Arial" w:hAnsi="Arial"/>
          <w:i/>
          <w:iCs/>
          <w:color w:val="1A1A1B"/>
          <w:sz w:val="18"/>
          <w:szCs w:val="18"/>
          <w:shd w:fill="FFFFFF" w:val="clear"/>
        </w:rPr>
        <w:t xml:space="preserve">10. LeCun, Y., et al. (1998). Gradient-based learning applied to document recognition. Proceedings of the IEEE, 2, 355– 65. 11.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LeNet-5 was the first convolutional neural network, a deep learning variant that dominates modern machine vision and that we will study later. Their classic dataset, the handwritten MNIST digits, is used extensively in Part II, “Essential Theory Illustrated.” Backpropagation, often abbreviated to backprop, facilitates efficient learning throughout the layers of artificial neurons within a deep learning model. Don’t worry! we’ll be studying Backpropogation in detail later in this book.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Together with the researchers’ data, processing power and the backprop algorithm rendered LeNet-5 sufficiently reliable to become an early commercial application of deep learning: It was used by the United States Postal Service to automate the reading of ZIP codes (US postal service term for postal code) written on mail envelopes.  Later in this book, we will use the same LeNet-5 architecture to recognize handwritten digits.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In LeNet-5, Yann LeCun and his colleagues had an algorithm that could correctly predict the handwritten digits that had been drawn without needing to include any expertise about handwritten digits in their code. As such, LeNet-5 provides an opportunity to introduce a fundamental difference between deep learning and the traditional machine learning ideology.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 conveyed by Figure 1.12, the traditional machine learning approach is characterized by practitioners investing the bulk of their efforts into engineering features. This feature engineering is the application of clever, and often elaborate, algorithms to raw data in order to preprocess the data into input variables that can be readily modeled by traditional statistical techniques. These techniques— such as regression, random forest, and support vector machine— are seldom effective on unprocessed data, and so the engineering of input data has historically been a prime focus of machine learning professionals.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2540" distL="0" distR="1905">
            <wp:extent cx="2499995" cy="10521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3"/>
                    <a:stretch>
                      <a:fillRect/>
                    </a:stretch>
                  </pic:blipFill>
                  <pic:spPr bwMode="auto">
                    <a:xfrm>
                      <a:off x="0" y="0"/>
                      <a:ext cx="2499995" cy="1052195"/>
                    </a:xfrm>
                    <a:prstGeom prst="rect">
                      <a:avLst/>
                    </a:prstGeom>
                  </pic:spPr>
                </pic:pic>
              </a:graphicData>
            </a:graphic>
          </wp:inline>
        </w:drawing>
      </w:r>
      <w:r>
        <w:rPr/>
        <mc:AlternateContent>
          <mc:Choice Requires="wps">
            <w:drawing>
              <wp:inline distT="0" distB="0" distL="0" distR="0" wp14:anchorId="1E57D45F">
                <wp:extent cx="596900" cy="653415"/>
                <wp:effectExtent l="0" t="0" r="0" b="0"/>
                <wp:docPr id="13" name="Picture 40"/>
                <a:graphic xmlns:a="http://schemas.openxmlformats.org/drawingml/2006/main">
                  <a:graphicData uri="http://schemas.openxmlformats.org/drawingml/2006/picture">
                    <pic:pic xmlns:pic="http://schemas.openxmlformats.org/drawingml/2006/picture">
                      <pic:nvPicPr>
                        <pic:cNvPr id="0" name="Picture 40" descr=""/>
                        <pic:cNvPicPr/>
                      </pic:nvPicPr>
                      <pic:blipFill>
                        <a:blip r:embed="rId14"/>
                        <a:stretch/>
                      </pic:blipFill>
                      <pic:spPr>
                        <a:xfrm rot="353400">
                          <a:off x="0" y="0"/>
                          <a:ext cx="596160" cy="6526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0" stroked="f" style="position:absolute;margin-left:2.5pt;margin-top:-53.75pt;width:46.9pt;height:51.35pt;rotation:6;mso-position-vertical:top" wp14:anchorId="1E57D45F" type="shapetype_75">
                <v:imagedata r:id="rId15" o:detectmouseclick="t"/>
                <w10:wrap type="none"/>
                <v:stroke color="#3465a4" joinstyle="round" endcap="flat"/>
              </v:shape>
            </w:pict>
          </mc:Fallback>
        </mc:AlternateContent>
      </w:r>
      <w:r>
        <w:rPr>
          <w:rFonts w:cs="Arial" w:ascii="Arial" w:hAnsi="Arial"/>
          <w:color w:val="1A1A1B"/>
          <w:sz w:val="21"/>
          <w:szCs w:val="21"/>
          <w:shd w:fill="FFFFFF" w:val="clear"/>
        </w:rPr>
        <w:t> </w:t>
      </w:r>
      <w:r>
        <w:rPr>
          <w:rFonts w:cs="Calibri Light" w:ascii="Calibri Light" w:hAnsi="Calibri Light" w:asciiTheme="majorHAnsi" w:cstheme="majorHAnsi" w:hAnsiTheme="majorHAnsi"/>
          <w:i/>
          <w:iCs/>
          <w:color w:val="1A1A1B"/>
          <w:sz w:val="18"/>
          <w:szCs w:val="18"/>
          <w:shd w:fill="FFFFFF" w:val="clear"/>
        </w:rPr>
        <w:t xml:space="preserve">Feature Engineering, quite simply, is the </w:t>
      </w:r>
      <w:r>
        <w:rPr>
          <w:rFonts w:cs="Calibri Light" w:ascii="Calibri Light" w:hAnsi="Calibri Light" w:asciiTheme="majorHAnsi" w:cstheme="majorHAnsi" w:hAnsiTheme="majorHAnsi"/>
          <w:i/>
          <w:iCs/>
          <w:color w:val="1A1A1B"/>
          <w:sz w:val="18"/>
          <w:szCs w:val="18"/>
          <w:u w:val="single"/>
          <w:shd w:fill="FFFFFF" w:val="clear"/>
        </w:rPr>
        <w:t>“science/art”</w:t>
      </w:r>
      <w:r>
        <w:rPr>
          <w:rFonts w:cs="Calibri Light" w:ascii="Calibri Light" w:hAnsi="Calibri Light" w:asciiTheme="majorHAnsi" w:cstheme="majorHAnsi" w:hAnsiTheme="majorHAnsi"/>
          <w:i/>
          <w:iCs/>
          <w:color w:val="1A1A1B"/>
          <w:sz w:val="18"/>
          <w:szCs w:val="18"/>
          <w:shd w:fill="FFFFFF" w:val="clear"/>
        </w:rPr>
        <w:t xml:space="preserve"> of representing data in the </w:t>
      </w:r>
      <w:r>
        <w:rPr>
          <w:rFonts w:cs="Calibri Light" w:ascii="Calibri Light" w:hAnsi="Calibri Light" w:asciiTheme="majorHAnsi" w:cstheme="majorHAnsi" w:hAnsiTheme="majorHAnsi"/>
          <w:i/>
          <w:iCs/>
          <w:color w:val="1A1A1B"/>
          <w:sz w:val="18"/>
          <w:szCs w:val="18"/>
          <w:u w:val="single"/>
          <w:shd w:fill="FFFFFF" w:val="clear"/>
        </w:rPr>
        <w:t>best</w:t>
      </w:r>
      <w:r>
        <w:rPr>
          <w:rFonts w:cs="Calibri Light" w:ascii="Calibri Light" w:hAnsi="Calibri Light" w:asciiTheme="majorHAnsi" w:cstheme="majorHAnsi" w:hAnsiTheme="majorHAnsi"/>
          <w:i/>
          <w:iCs/>
          <w:color w:val="1A1A1B"/>
          <w:sz w:val="18"/>
          <w:szCs w:val="18"/>
          <w:shd w:fill="FFFFFF" w:val="clear"/>
        </w:rPr>
        <w:t xml:space="preserve"> way possible for ML algorithms to be effective. Why “science/art”? Because good feature engineering involves an elegant blend of domain knowledge, intuition, and basic mathematical abilities. Actually, a lot of the most effective data representation “hacks” barely involve any mathematical computation at all!  What does “best” mean? In essence, the data is presented to the algorithm should denote the pertinent structures/properties of the underlying information in the most effective way possible. When you do feature engineering, you are essentially converting your data attributes into data features. Attributes are basically all the dimensions (columns) present in your data. But do all of them, in the raw format, represent the underlying trends you want to learn in the best way possible? Maybe not. So, what you do in feature engineering, is pre-process your data so that your model/learning algorithm has to spend minimum effort on wading through noise. What I mean by ‘noise’ here, is any information that is not relevant to learning/predicting your ultimate goal. In fact, using good features can even let you use considerably simpler models since you are doing a part of the thinking yourself.</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Feature engineering— the transformation of raw data into thoughtfully transformed input variables— </w:t>
      </w:r>
      <w:r>
        <w:rPr>
          <w:rFonts w:cs="Arial" w:ascii="Arial" w:hAnsi="Arial"/>
          <w:i/>
          <w:iCs/>
          <w:color w:val="1A1A1B"/>
          <w:sz w:val="21"/>
          <w:szCs w:val="21"/>
          <w:shd w:fill="FFFFFF" w:val="clear"/>
        </w:rPr>
        <w:t>often predominates the application of traditional machine learning algorithms</w:t>
      </w:r>
      <w:r>
        <w:rPr>
          <w:rFonts w:cs="Arial" w:ascii="Arial" w:hAnsi="Arial"/>
          <w:color w:val="1A1A1B"/>
          <w:sz w:val="21"/>
          <w:szCs w:val="21"/>
          <w:shd w:fill="FFFFFF" w:val="clear"/>
        </w:rPr>
        <w:t xml:space="preserve">. In contrast, the application of deep learning often involves </w:t>
      </w:r>
      <w:r>
        <w:rPr>
          <w:rFonts w:cs="Arial" w:ascii="Arial" w:hAnsi="Arial"/>
          <w:i/>
          <w:iCs/>
          <w:color w:val="1A1A1B"/>
          <w:sz w:val="21"/>
          <w:szCs w:val="21"/>
          <w:shd w:fill="FFFFFF" w:val="clear"/>
        </w:rPr>
        <w:t>little to no feature engineering</w:t>
      </w:r>
      <w:r>
        <w:rPr>
          <w:rFonts w:cs="Arial" w:ascii="Arial" w:hAnsi="Arial"/>
          <w:color w:val="1A1A1B"/>
          <w:sz w:val="21"/>
          <w:szCs w:val="21"/>
          <w:shd w:fill="FFFFFF" w:val="clear"/>
        </w:rPr>
        <w:t xml:space="preserve">. The majority of time is spent instead on the design and tuning of the deep learning model architecture. In contrast, a minority of the traditional ML practitioner’s time is spent optimizing ML models or selecting the most effective one from those available.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deep learning approach to modeling data turns these traditional ML priorities upside down. The deep learning practitioner typically spends little to none of her time engineering features, instead spending it modeling data with various artificial neural network architectures that process the raw inputs directly into useful features </w:t>
      </w:r>
      <w:r>
        <w:rPr>
          <w:rFonts w:cs="Arial" w:ascii="Arial" w:hAnsi="Arial"/>
          <w:i/>
          <w:iCs/>
          <w:color w:val="1A1A1B"/>
          <w:sz w:val="21"/>
          <w:szCs w:val="21"/>
          <w:shd w:fill="FFFFFF" w:val="clear"/>
        </w:rPr>
        <w:t>automatically</w:t>
      </w:r>
      <w:r>
        <w:rPr>
          <w:rFonts w:cs="Arial" w:ascii="Arial" w:hAnsi="Arial"/>
          <w:color w:val="1A1A1B"/>
          <w:sz w:val="21"/>
          <w:szCs w:val="21"/>
          <w:shd w:fill="FFFFFF" w:val="clear"/>
        </w:rPr>
        <w:t xml:space="preserve">. This distinction between deep learning and traditional machine learning is a core theme of this book.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But for a long time, traditional machine learning, despite its feature engineering issues, was considered to hold more promise, and funding shifted away from deep learning research. This was understandable as, at the time, there were stumbling blocks associated with optimizing deep learning models. This included poor weight initializations (we’ll cover this in later chapters), covariate shift (also in later chapters), and the predominance of the relatively inefficient sigmoid activation function (later chapters).  Public funding for artificial neural network research ebbed globally, with the </w:t>
      </w:r>
      <w:r>
        <w:rPr>
          <w:rFonts w:cs="Arial" w:ascii="Arial" w:hAnsi="Arial"/>
          <w:i/>
          <w:iCs/>
          <w:color w:val="1A1A1B"/>
          <w:sz w:val="21"/>
          <w:szCs w:val="21"/>
          <w:shd w:fill="FFFFFF" w:val="clear"/>
        </w:rPr>
        <w:t>notable exception</w:t>
      </w:r>
      <w:r>
        <w:rPr>
          <w:rFonts w:cs="Arial" w:ascii="Arial" w:hAnsi="Arial"/>
          <w:color w:val="1A1A1B"/>
          <w:sz w:val="21"/>
          <w:szCs w:val="21"/>
          <w:shd w:fill="FFFFFF" w:val="clear"/>
        </w:rPr>
        <w:t xml:space="preserve"> of continued support from the Canadian federal government, enabling the Universities of Montreal, Toronto, and Alberta to subsequently become powerhouses in the field.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1270" distL="0" distR="4445">
            <wp:extent cx="2027555" cy="1243330"/>
            <wp:effectExtent l="0" t="0" r="0" b="0"/>
            <wp:docPr id="14" name="Picture 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close up of a mans face&#10;&#10;Description automatically generated"/>
                    <pic:cNvPicPr>
                      <a:picLocks noChangeAspect="1" noChangeArrowheads="1"/>
                    </pic:cNvPicPr>
                  </pic:nvPicPr>
                  <pic:blipFill>
                    <a:blip r:embed="rId16"/>
                    <a:stretch>
                      <a:fillRect/>
                    </a:stretch>
                  </pic:blipFill>
                  <pic:spPr bwMode="auto">
                    <a:xfrm>
                      <a:off x="0" y="0"/>
                      <a:ext cx="2027555" cy="1243330"/>
                    </a:xfrm>
                    <a:prstGeom prst="rect">
                      <a:avLst/>
                    </a:prstGeom>
                  </pic:spPr>
                </pic:pic>
              </a:graphicData>
            </a:graphic>
          </wp:inline>
        </w:drawing>
      </w:r>
      <w:r>
        <w:rPr>
          <w:rFonts w:cs="Arial" w:ascii="Arial" w:hAnsi="Arial"/>
          <w:color w:val="1A1A1B"/>
          <w:sz w:val="21"/>
          <w:szCs w:val="21"/>
          <w:shd w:fill="FFFFFF" w:val="clear"/>
        </w:rPr>
        <w:t xml:space="preserve"> </w:t>
      </w:r>
      <w:r>
        <w:rPr/>
        <w:drawing>
          <wp:inline distT="0" distB="0" distL="0" distR="0">
            <wp:extent cx="651510" cy="713105"/>
            <wp:effectExtent l="0" t="0" r="0" b="0"/>
            <wp:docPr id="15" name="Picture 7"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age result for writer sujatha"/>
                    <pic:cNvPicPr>
                      <a:picLocks noChangeAspect="1" noChangeArrowheads="1"/>
                    </pic:cNvPicPr>
                  </pic:nvPicPr>
                  <pic:blipFill>
                    <a:blip r:embed="rId17"/>
                    <a:stretch>
                      <a:fillRect/>
                    </a:stretch>
                  </pic:blipFill>
                  <pic:spPr bwMode="auto">
                    <a:xfrm flipH="1">
                      <a:off x="0" y="0"/>
                      <a:ext cx="651510" cy="713105"/>
                    </a:xfrm>
                    <a:prstGeom prst="rect">
                      <a:avLst/>
                    </a:prstGeom>
                  </pic:spPr>
                </pic:pic>
              </a:graphicData>
            </a:graphic>
          </wp:inline>
        </w:drawing>
      </w:r>
      <w:r>
        <w:rPr>
          <w:rFonts w:cs="Calibri Light" w:ascii="Calibri Light" w:hAnsi="Calibri Light" w:asciiTheme="majorHAnsi" w:cstheme="majorHAnsi" w:hAnsiTheme="majorHAnsi"/>
          <w:i/>
          <w:iCs/>
          <w:color w:val="1A1A1B"/>
          <w:sz w:val="21"/>
          <w:szCs w:val="21"/>
          <w:shd w:fill="FFFFFF" w:val="clear"/>
        </w:rPr>
        <w:t>Here you see a celebrated example of successful feature engineering from Paul Viola and Michael Jones in the early 2000s. Viola and Jones employed rectangular filters such as the vertical or horizontal black-and-white bars shown in the figure. These features generated by passing rectangular filters over an image were fed into machine learning algorithms to reliably detect the presence of a face.  Their efficient algorithm found its way into Fujifilm cameras, facilitating real-time auto-focus. In the figure, the combinations of rectangular filters and an original image used for the purpose of reliable face recognition are shown. The first filter is a horizontal white bar inside a horizontal black rectangular box. The second filter is a white vertical bar inside a black rectangular box. The original image is a thumbnail of a person's face. Both filters cover the eye region of the person's face. This work is notable because the algorithm was efficient enough to be the first real-time face detector outside the realm of biology.</w:t>
      </w:r>
    </w:p>
    <w:p>
      <w:pPr>
        <w:pStyle w:val="Normal"/>
        <w:rPr>
          <w:rFonts w:ascii="Calibri Light" w:hAnsi="Calibri Light" w:cs="Calibri Light" w:asciiTheme="majorHAnsi" w:cstheme="majorHAnsi" w:hAnsiTheme="majorHAnsi"/>
          <w:i/>
          <w:i/>
          <w:iCs/>
          <w:color w:val="1A1A1B"/>
          <w:sz w:val="21"/>
          <w:szCs w:val="21"/>
          <w:highlight w:val="white"/>
        </w:rPr>
      </w:pPr>
      <w:r>
        <w:rPr>
          <w:rFonts w:cs="Calibri Light" w:cstheme="majorHAnsi" w:ascii="Calibri Light" w:hAnsi="Calibri Light"/>
          <w:i/>
          <w:iCs/>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Devising clever face-detecting filters to process raw pixels into features for input into a machine learning model was accomplished </w:t>
      </w:r>
      <w:r>
        <w:rPr>
          <w:rFonts w:cs="Arial" w:ascii="Arial" w:hAnsi="Arial"/>
          <w:i/>
          <w:iCs/>
          <w:color w:val="1A1A1B"/>
          <w:sz w:val="21"/>
          <w:szCs w:val="21"/>
          <w:shd w:fill="FFFFFF" w:val="clear"/>
        </w:rPr>
        <w:t>via years of research and collaboration</w:t>
      </w:r>
      <w:r>
        <w:rPr>
          <w:rFonts w:cs="Arial" w:ascii="Arial" w:hAnsi="Arial"/>
          <w:color w:val="1A1A1B"/>
          <w:sz w:val="21"/>
          <w:szCs w:val="21"/>
          <w:shd w:fill="FFFFFF" w:val="clear"/>
        </w:rPr>
        <w:t xml:space="preserve"> on the characteristics of faces. And, of course, it is limited to detecting faces </w:t>
      </w:r>
      <w:r>
        <w:rPr>
          <w:rFonts w:cs="Arial" w:ascii="Arial" w:hAnsi="Arial"/>
          <w:i/>
          <w:iCs/>
          <w:color w:val="1A1A1B"/>
          <w:sz w:val="21"/>
          <w:szCs w:val="21"/>
          <w:shd w:fill="FFFFFF" w:val="clear"/>
        </w:rPr>
        <w:t>in general</w:t>
      </w:r>
      <w:r>
        <w:rPr>
          <w:rFonts w:cs="Arial" w:ascii="Arial" w:hAnsi="Arial"/>
          <w:color w:val="1A1A1B"/>
          <w:sz w:val="21"/>
          <w:szCs w:val="21"/>
          <w:shd w:fill="FFFFFF" w:val="clear"/>
        </w:rPr>
        <w:t>, as opposed to being able to recognize a particular face as, say, your own face or your favorite person’s face. To develop features for detecting your face in particular, or for detecting some non-face class of objects like houses, cars, or cricket balls, would require the development of expertise in that category, something that could again take years of academic-community collaboration to execute both efficiently and accurately. The machine vision community was looking for a way out of this tricky problem.</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ImageNet and the ILSVRC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success LeNet-5 had over the neocognitron was catalyzed by the availability of </w:t>
      </w:r>
      <w:r>
        <w:rPr>
          <w:rFonts w:cs="Arial" w:ascii="Arial" w:hAnsi="Arial"/>
          <w:i/>
          <w:iCs/>
          <w:color w:val="1A1A1B"/>
          <w:sz w:val="21"/>
          <w:szCs w:val="21"/>
          <w:shd w:fill="FFFFFF" w:val="clear"/>
        </w:rPr>
        <w:t>a larger, high-quality set of training data</w:t>
      </w:r>
      <w:r>
        <w:rPr>
          <w:rFonts w:cs="Arial" w:ascii="Arial" w:hAnsi="Arial"/>
          <w:color w:val="1A1A1B"/>
          <w:sz w:val="21"/>
          <w:szCs w:val="21"/>
          <w:shd w:fill="FFFFFF" w:val="clear"/>
        </w:rPr>
        <w:t>. There was a clear recognition among the scientific community that data driven discoveries were cropping up many research areas. The next breakthrough in neural networks was also catalyzed by a high-quality public dataset, this time much larger.  ImageNet, a labeled index of photographs devised by computer science professor Fei-Fei Li armed machine vision researchers with an immense catalog of training data. For reference, the handwritten digit data used to train LeNet-5 contained tens of thousands of images. ImageNet, in contrast, contains tens of millions. The 14 million images in the ImageNet dataset are spread across 22,000 categories. These categories are as diverse as container ships, leopards, starfish, and elderberries.</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5080" distL="0" distR="3810">
            <wp:extent cx="1444625" cy="960755"/>
            <wp:effectExtent l="0" t="0" r="0" b="0"/>
            <wp:docPr id="16" name="Picture 6"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person standing in front of a window&#10;&#10;Description automatically generated"/>
                    <pic:cNvPicPr>
                      <a:picLocks noChangeAspect="1" noChangeArrowheads="1"/>
                    </pic:cNvPicPr>
                  </pic:nvPicPr>
                  <pic:blipFill>
                    <a:blip r:embed="rId18"/>
                    <a:stretch>
                      <a:fillRect/>
                    </a:stretch>
                  </pic:blipFill>
                  <pic:spPr bwMode="auto">
                    <a:xfrm>
                      <a:off x="0" y="0"/>
                      <a:ext cx="1444625" cy="960755"/>
                    </a:xfrm>
                    <a:prstGeom prst="rect">
                      <a:avLst/>
                    </a:prstGeom>
                  </pic:spPr>
                </pic:pic>
              </a:graphicData>
            </a:graphic>
          </wp:inline>
        </w:drawing>
      </w:r>
      <w:r>
        <w:rPr/>
        <w:t xml:space="preserve"> </w:t>
      </w:r>
    </w:p>
    <w:p>
      <w:pPr>
        <w:pStyle w:val="Normal"/>
        <w:rPr/>
      </w:pPr>
      <w:r>
        <w:rPr>
          <w:rFonts w:cs="Arial" w:ascii="Arial" w:hAnsi="Arial"/>
          <w:color w:val="1A1A1B"/>
          <w:sz w:val="21"/>
          <w:szCs w:val="21"/>
          <w:shd w:fill="FFFFFF" w:val="clear"/>
        </w:rPr>
        <w:t>Fei-Fei Li</w:t>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massive ImageNet dataset was the brainchild of a computer science professor Fei-Fei Li and her colleagues at Princeton in 2009. Now a faculty member at Stanford University, Li is also the chief scientist of A.I./ ML for Google’s cloud platform.  In 2010, Li began running an open challenge called ILSVRC (the ImageNet Large Scale Visual Recognition Challenge) on a subset of the ImageNet data. This challenge has, over time, become the premier ground for assessing the world’s state-of-the-art machine vision algorithms. The ILSVRC subset consists of 1.4 million images across 1,000 categories. In addition to providing a broad range of categories, many of the selected categories are breeds of dogs, thereby evaluating the algorithms’ ability not only to distinguish widely varying images but also to specialize in distinguishing subtly varying ones.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Aside: Just as a thought experiment, try to distinguish photos of Rampur Greyhound from Mudhol Hound. It’s tough, but dog experts, </w:t>
      </w:r>
      <w:r>
        <w:rPr>
          <w:rFonts w:cs="Arial" w:ascii="Arial" w:hAnsi="Arial"/>
          <w:i/>
          <w:iCs/>
          <w:color w:val="1A1A1B"/>
          <w:sz w:val="21"/>
          <w:szCs w:val="21"/>
          <w:shd w:fill="FFFFFF" w:val="clear"/>
        </w:rPr>
        <w:t>as well as deep learning machine vision models</w:t>
      </w:r>
      <w:r>
        <w:rPr>
          <w:rFonts w:cs="Arial" w:ascii="Arial" w:hAnsi="Arial"/>
          <w:color w:val="1A1A1B"/>
          <w:sz w:val="21"/>
          <w:szCs w:val="21"/>
          <w:shd w:fill="FFFFFF" w:val="clear"/>
        </w:rPr>
        <w:t xml:space="preserve">, can do it! </w:t>
      </w:r>
    </w:p>
    <w:p>
      <w:pPr>
        <w:pStyle w:val="Normal"/>
        <w:rPr/>
      </w:pPr>
      <w:r>
        <w:rPr/>
        <w:drawing>
          <wp:inline distT="0" distB="5715" distL="0" distR="0">
            <wp:extent cx="587375" cy="476885"/>
            <wp:effectExtent l="0" t="0" r="0" b="0"/>
            <wp:docPr id="17" name="Picture 26" descr="A photo of an Indian breed Rampur Grey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A photo of an Indian breed Rampur Greyhound"/>
                    <pic:cNvPicPr>
                      <a:picLocks noChangeAspect="1" noChangeArrowheads="1"/>
                    </pic:cNvPicPr>
                  </pic:nvPicPr>
                  <pic:blipFill>
                    <a:blip r:embed="rId19"/>
                    <a:stretch>
                      <a:fillRect/>
                    </a:stretch>
                  </pic:blipFill>
                  <pic:spPr bwMode="auto">
                    <a:xfrm>
                      <a:off x="0" y="0"/>
                      <a:ext cx="587375" cy="476885"/>
                    </a:xfrm>
                    <a:prstGeom prst="rect">
                      <a:avLst/>
                    </a:prstGeom>
                  </pic:spPr>
                </pic:pic>
              </a:graphicData>
            </a:graphic>
          </wp:inline>
        </w:drawing>
      </w:r>
      <w:r>
        <w:rPr/>
        <w:t xml:space="preserve"> </w:t>
      </w:r>
      <w:r>
        <w:rPr/>
        <w:drawing>
          <wp:inline distT="0" distB="0" distL="0" distR="3175">
            <wp:extent cx="542925" cy="447040"/>
            <wp:effectExtent l="0" t="0" r="0" b="0"/>
            <wp:docPr id="18" name="Picture 35" descr="A photo of an Indian breed Mudhol hound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A photo of an Indian breed Mudhol hound dog"/>
                    <pic:cNvPicPr>
                      <a:picLocks noChangeAspect="1" noChangeArrowheads="1"/>
                    </pic:cNvPicPr>
                  </pic:nvPicPr>
                  <pic:blipFill>
                    <a:blip r:embed="rId20"/>
                    <a:stretch>
                      <a:fillRect/>
                    </a:stretch>
                  </pic:blipFill>
                  <pic:spPr bwMode="auto">
                    <a:xfrm>
                      <a:off x="0" y="0"/>
                      <a:ext cx="542925" cy="447040"/>
                    </a:xfrm>
                    <a:prstGeom prst="rect">
                      <a:avLst/>
                    </a:prstGeom>
                  </pic:spPr>
                </pic:pic>
              </a:graphicData>
            </a:graphic>
          </wp:inline>
        </w:drawing>
      </w:r>
    </w:p>
    <w:p>
      <w:pPr>
        <w:pStyle w:val="Normal"/>
        <w:rPr>
          <w:rFonts w:ascii="Calibri Light" w:hAnsi="Calibri Light" w:cs="Calibri Light" w:asciiTheme="majorHAnsi" w:cstheme="majorHAnsi" w:hAnsiTheme="majorHAnsi"/>
          <w:sz w:val="16"/>
          <w:szCs w:val="16"/>
        </w:rPr>
      </w:pPr>
      <w:r>
        <w:rPr>
          <w:rFonts w:cs="Calibri Light" w:ascii="Calibri Light" w:hAnsi="Calibri Light" w:asciiTheme="majorHAnsi" w:cstheme="majorHAnsi" w:hAnsiTheme="majorHAnsi"/>
          <w:sz w:val="16"/>
          <w:szCs w:val="16"/>
        </w:rPr>
        <w:t>Rampur Greyhound vs Mudhol Hound</w:t>
      </w:r>
    </w:p>
    <w:p>
      <w:pPr>
        <w:pStyle w:val="Normal"/>
        <w:rPr>
          <w:rFonts w:ascii="Calibri Light" w:hAnsi="Calibri Light" w:cs="Calibri Light" w:asciiTheme="majorHAnsi" w:cstheme="majorHAnsi" w:hAnsiTheme="majorHAnsi"/>
          <w:sz w:val="16"/>
          <w:szCs w:val="16"/>
        </w:rPr>
      </w:pPr>
      <w:r>
        <w:rPr>
          <w:rFonts w:cs="Calibri Light" w:cstheme="majorHAnsi" w:ascii="Calibri Light" w:hAnsi="Calibri Light"/>
          <w:sz w:val="16"/>
          <w:szCs w:val="16"/>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Tangentially, these dog-heavy data are the reason deep learning models trained with ImageNet have a disposition toward “dreaming” about dogs (see, e.g., deepdreamgenerator.com).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0" distL="0" distR="3175">
            <wp:extent cx="1407160" cy="755015"/>
            <wp:effectExtent l="0" t="0" r="0" b="0"/>
            <wp:docPr id="19" name="Picture 46" descr="A picture containing table, colorful, indoo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6" descr="A picture containing table, colorful, indoor, bird&#10;&#10;Description automatically generated"/>
                    <pic:cNvPicPr>
                      <a:picLocks noChangeAspect="1" noChangeArrowheads="1"/>
                    </pic:cNvPicPr>
                  </pic:nvPicPr>
                  <pic:blipFill>
                    <a:blip r:embed="rId21"/>
                    <a:stretch>
                      <a:fillRect/>
                    </a:stretch>
                  </pic:blipFill>
                  <pic:spPr bwMode="auto">
                    <a:xfrm>
                      <a:off x="0" y="0"/>
                      <a:ext cx="1407160" cy="75501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The arrival of the gamechanger a.k.a. AlexNet </w:t>
      </w:r>
    </w:p>
    <w:p>
      <w:pPr>
        <w:pStyle w:val="Normal"/>
        <w:rPr/>
      </w:pPr>
      <w:r>
        <w:rPr/>
        <w:drawing>
          <wp:inline distT="0" distB="0" distL="0" distR="0">
            <wp:extent cx="2794635" cy="2036445"/>
            <wp:effectExtent l="0" t="0" r="0" b="0"/>
            <wp:docPr id="2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A screenshot of a cell phone&#10;&#10;Description automatically generated"/>
                    <pic:cNvPicPr>
                      <a:picLocks noChangeAspect="1" noChangeArrowheads="1"/>
                    </pic:cNvPicPr>
                  </pic:nvPicPr>
                  <pic:blipFill>
                    <a:blip r:embed="rId22"/>
                    <a:stretch>
                      <a:fillRect/>
                    </a:stretch>
                  </pic:blipFill>
                  <pic:spPr bwMode="auto">
                    <a:xfrm>
                      <a:off x="0" y="0"/>
                      <a:ext cx="2794635" cy="2036445"/>
                    </a:xfrm>
                    <a:prstGeom prst="rect">
                      <a:avLst/>
                    </a:prstGeom>
                  </pic:spPr>
                </pic:pic>
              </a:graphicData>
            </a:graphic>
          </wp:inline>
        </w:drawing>
      </w:r>
      <w:r>
        <w:rPr/>
        <w:drawing>
          <wp:inline distT="0" distB="0" distL="0" distR="0">
            <wp:extent cx="1233805" cy="818515"/>
            <wp:effectExtent l="0" t="0" r="0" b="0"/>
            <wp:docPr id="21" name="Picture 13" descr="Image result for rajinikanth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age result for rajinikanth gifs"/>
                    <pic:cNvPicPr>
                      <a:picLocks noChangeAspect="1" noChangeArrowheads="1"/>
                    </pic:cNvPicPr>
                  </pic:nvPicPr>
                  <pic:blipFill>
                    <a:blip r:embed="rId23"/>
                    <a:stretch>
                      <a:fillRect/>
                    </a:stretch>
                  </pic:blipFill>
                  <pic:spPr bwMode="auto">
                    <a:xfrm>
                      <a:off x="0" y="0"/>
                      <a:ext cx="1233805" cy="818515"/>
                    </a:xfrm>
                    <a:prstGeom prst="rect">
                      <a:avLst/>
                    </a:prstGeom>
                  </pic:spPr>
                </pic:pic>
              </a:graphicData>
            </a:graphic>
          </wp:inline>
        </w:drawing>
      </w:r>
      <w:r>
        <w:rPr/>
        <w:drawing>
          <wp:inline distT="0" distB="1270" distL="0" distR="0">
            <wp:extent cx="932815" cy="621665"/>
            <wp:effectExtent l="0" t="0" r="0" b="0"/>
            <wp:docPr id="22" name="Picture 79" descr="Image result for alexnet m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9" descr="Image result for alexnet memes"/>
                    <pic:cNvPicPr>
                      <a:picLocks noChangeAspect="1" noChangeArrowheads="1"/>
                    </pic:cNvPicPr>
                  </pic:nvPicPr>
                  <pic:blipFill>
                    <a:blip r:embed="rId24"/>
                    <a:stretch>
                      <a:fillRect/>
                    </a:stretch>
                  </pic:blipFill>
                  <pic:spPr bwMode="auto">
                    <a:xfrm>
                      <a:off x="0" y="0"/>
                      <a:ext cx="932815" cy="621665"/>
                    </a:xfrm>
                    <a:prstGeom prst="rect">
                      <a:avLst/>
                    </a:prstGeom>
                  </pic:spPr>
                </pic:pic>
              </a:graphicData>
            </a:graphic>
          </wp:inline>
        </w:drawing>
      </w:r>
    </w:p>
    <w:p>
      <w:pPr>
        <w:pStyle w:val="Normal"/>
        <w:rPr/>
      </w:pPr>
      <w:r>
        <w:rPr/>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graph above shows that in the first two years of the ILSVRC all algorithms entered into the competition hailed from the feature-engineering-driven traditional machine learning ideology. In the third year, all entrants except one were traditional ML algorithms. If that one deep learning model in 2012 had not been developed or if its creators had not competed in ILSVRC, then the year-over-year image classification accuracy would have been negligible. Instead, Alex Krizhevsky and Ilya Sutskever— working out of the University of Toronto lab led by Geoffrey Hinton— </w:t>
      </w:r>
      <w:r>
        <w:rPr>
          <w:rFonts w:cs="Arial" w:ascii="Arial" w:hAnsi="Arial"/>
          <w:b/>
          <w:bCs/>
          <w:i/>
          <w:iCs/>
          <w:color w:val="1A1A1B"/>
          <w:sz w:val="21"/>
          <w:szCs w:val="21"/>
          <w:shd w:fill="FFFFFF" w:val="clear"/>
        </w:rPr>
        <w:t>crushed</w:t>
      </w:r>
      <w:r>
        <w:rPr>
          <w:rFonts w:cs="Arial" w:ascii="Arial" w:hAnsi="Arial"/>
          <w:color w:val="1A1A1B"/>
          <w:sz w:val="21"/>
          <w:szCs w:val="21"/>
          <w:shd w:fill="FFFFFF" w:val="clear"/>
        </w:rPr>
        <w:t xml:space="preserve"> all existing benchmarks with their submission, today referred to as AlexNet. </w:t>
      </w:r>
    </w:p>
    <w:p>
      <w:pPr>
        <w:pStyle w:val="Normal"/>
        <w:rPr>
          <w:rFonts w:ascii="Calibri Light" w:hAnsi="Calibri Light" w:cs="Calibri Light" w:asciiTheme="majorHAnsi" w:cstheme="majorHAnsi" w:hAnsiTheme="majorHAnsi"/>
          <w:color w:val="1A1A1B"/>
          <w:sz w:val="21"/>
          <w:szCs w:val="21"/>
          <w:highlight w:val="white"/>
        </w:rPr>
      </w:pPr>
      <w:r>
        <w:rPr>
          <w:rFonts w:cs="Calibri Light" w:cstheme="majorHAnsi" w:ascii="Calibri Light" w:hAnsi="Calibri Light"/>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AlexNet was the victor by a head-and-shoulders (40 percent!) margin in the 2012 iteration. This was a watershed moment for Deep Learning! Instantly, deep learning architectures emerged from the fringes of machine learning to its fore. Academics and commercial practitioners scrambled to grasp the fundamentals of artificial neural networks as well as to create software libraries— many of them open-source— to experiment with deep learning models on their own data and use cases, be they machine vision or otherwise. Again, as the ILSRVC results graph illustrates, in the years since 2012 all of the top-performing models in the ILSVRC have been based on deep learning. All of the best algorithms since then have been deep learning models.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Things did not stop there. In 2015, machines surpassed human accuracy. In the graph, the horizontal axis represents years and ranges from 2010 to 2017 in increments of 1. The vertical axis represents the top 5 error rate and ranges from 0 to 0.6 in increments of 0.2. A box plot is shown for the year 2010 in which the minimum error value falls at 0.26 and maximum value at 0.45. In the year 2011, the box plot shows a maximum value of 0.5 and a minimum value of 0.24. In the year 2012, the traditional machine learning shows a value of 0.23 but AlexNet showed a lower error rate of 0.18. The plots shown until 2012 is traditional machine learning but after the introduction of the AlexNet, the successive years shows the performance of deep learning. The error rates have a decreasing trend until the year 2017.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5080" distL="0" distR="0">
            <wp:extent cx="1652270" cy="1099820"/>
            <wp:effectExtent l="0" t="0" r="0" b="0"/>
            <wp:docPr id="23" name="Picture 60" descr="Image result for geoffrey 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0" descr="Image result for geoffrey hinton"/>
                    <pic:cNvPicPr>
                      <a:picLocks noChangeAspect="1" noChangeArrowheads="1"/>
                    </pic:cNvPicPr>
                  </pic:nvPicPr>
                  <pic:blipFill>
                    <a:blip r:embed="rId25"/>
                    <a:stretch>
                      <a:fillRect/>
                    </a:stretch>
                  </pic:blipFill>
                  <pic:spPr bwMode="auto">
                    <a:xfrm>
                      <a:off x="0" y="0"/>
                      <a:ext cx="1652270" cy="1099820"/>
                    </a:xfrm>
                    <a:prstGeom prst="rect">
                      <a:avLst/>
                    </a:prstGeom>
                  </pic:spPr>
                </pic:pic>
              </a:graphicData>
            </a:graphic>
          </wp:inline>
        </w:drawing>
      </w:r>
    </w:p>
    <w:p>
      <w:pPr>
        <w:pStyle w:val="Normal"/>
        <w:rPr>
          <w:rFonts w:ascii="Arial" w:hAnsi="Arial" w:cs="Arial"/>
          <w:color w:val="1A1A1B"/>
          <w:sz w:val="21"/>
          <w:szCs w:val="21"/>
          <w:highlight w:val="white"/>
        </w:rPr>
      </w:pPr>
      <w:r>
        <w:rPr>
          <w:rFonts w:cs="Calibri Light" w:ascii="Calibri Light" w:hAnsi="Calibri Light" w:asciiTheme="majorHAnsi" w:cstheme="majorHAnsi" w:hAnsiTheme="majorHAnsi"/>
          <w:i/>
          <w:iCs/>
          <w:color w:val="1A1A1B"/>
          <w:sz w:val="21"/>
          <w:szCs w:val="21"/>
          <w:shd w:fill="FFFFFF" w:val="clear"/>
        </w:rPr>
        <w:t>Geoffrey Hinton the eminent British-Canadian artificial neural network pioneer, habitually referred to as “the godfather of deep learning” in the popular press.</w:t>
      </w:r>
      <w:r>
        <w:rPr>
          <w:rFonts w:cs="Arial" w:ascii="Arial" w:hAnsi="Arial"/>
          <w:color w:val="1A1A1B"/>
          <w:sz w:val="21"/>
          <w:szCs w:val="21"/>
          <w:shd w:fill="FFFFFF" w:val="clear"/>
        </w:rPr>
        <w:t xml:space="preserve"> </w:t>
      </w:r>
      <w:r>
        <w:rPr>
          <w:rFonts w:cs="Calibri Light" w:ascii="Calibri Light" w:hAnsi="Calibri Light" w:asciiTheme="majorHAnsi" w:cstheme="majorHAnsi" w:hAnsiTheme="majorHAnsi"/>
          <w:i/>
          <w:iCs/>
          <w:color w:val="1A1A1B"/>
          <w:sz w:val="21"/>
          <w:szCs w:val="21"/>
          <w:shd w:fill="FFFFFF" w:val="clear"/>
        </w:rPr>
        <w:t>He is an emeritus professor at the University of Toronto and an engineering fellow at Google, responsible for managing the search giant’s Brain Team, a research arm, in Toronto. In 2019, Hinton, Yann LeCun, and Yoshua Bengio were jointly recognized with the Turing Award— the highest honor in computer science— for their work on deep learning.</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0" distL="0" distR="0">
            <wp:extent cx="2505075" cy="1758315"/>
            <wp:effectExtent l="0" t="0" r="0" b="0"/>
            <wp:docPr id="24"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A close up of text on a white background&#10;&#10;Description automatically generated"/>
                    <pic:cNvPicPr>
                      <a:picLocks noChangeAspect="1" noChangeArrowheads="1"/>
                    </pic:cNvPicPr>
                  </pic:nvPicPr>
                  <pic:blipFill>
                    <a:blip r:embed="rId26"/>
                    <a:stretch>
                      <a:fillRect/>
                    </a:stretch>
                  </pic:blipFill>
                  <pic:spPr bwMode="auto">
                    <a:xfrm>
                      <a:off x="0" y="0"/>
                      <a:ext cx="2505075" cy="1758315"/>
                    </a:xfrm>
                    <a:prstGeom prst="rect">
                      <a:avLst/>
                    </a:prstGeom>
                  </pic:spPr>
                </pic:pic>
              </a:graphicData>
            </a:graphic>
          </wp:inline>
        </w:drawing>
      </w:r>
      <w:r>
        <w:rPr/>
        <mc:AlternateContent>
          <mc:Choice Requires="wps">
            <w:drawing>
              <wp:inline distT="0" distB="0" distL="0" distR="0" wp14:anchorId="0B4D7B41">
                <wp:extent cx="652145" cy="713740"/>
                <wp:effectExtent l="0" t="0" r="0" b="0"/>
                <wp:docPr id="25" name="Picture 40"/>
                <a:graphic xmlns:a="http://schemas.openxmlformats.org/drawingml/2006/main">
                  <a:graphicData uri="http://schemas.openxmlformats.org/drawingml/2006/picture">
                    <pic:pic xmlns:pic="http://schemas.openxmlformats.org/drawingml/2006/picture">
                      <pic:nvPicPr>
                        <pic:cNvPr id="1" name="Picture 40" descr=""/>
                        <pic:cNvPicPr/>
                      </pic:nvPicPr>
                      <pic:blipFill>
                        <a:blip r:embed="rId27"/>
                        <a:stretch/>
                      </pic:blipFill>
                      <pic:spPr>
                        <a:xfrm rot="251400">
                          <a:off x="0" y="0"/>
                          <a:ext cx="651600" cy="713160"/>
                        </a:xfrm>
                        <a:prstGeom prst="rect">
                          <a:avLst/>
                        </a:prstGeom>
                        <a:ln>
                          <a:noFill/>
                        </a:ln>
                      </pic:spPr>
                    </pic:pic>
                  </a:graphicData>
                </a:graphic>
              </wp:inline>
            </w:drawing>
          </mc:Choice>
          <mc:Fallback>
            <w:pict>
              <v:shape id="shape_0" ID="Picture 40" stroked="f" style="position:absolute;margin-left:1.95pt;margin-top:-58.05pt;width:51.25pt;height:56.1pt;rotation:4;mso-position-vertical:top" wp14:anchorId="0B4D7B41" type="shapetype_75">
                <v:imagedata r:id="rId28" o:detectmouseclick="t"/>
                <w10:wrap type="none"/>
                <v:stroke color="#3465a4" joinstyle="round" endcap="flat"/>
              </v:shape>
            </w:pict>
          </mc:Fallback>
        </mc:AlternateContent>
      </w:r>
      <w:r>
        <w:rPr>
          <w:rFonts w:cs="Calibri Light" w:ascii="Calibri Light" w:hAnsi="Calibri Light" w:asciiTheme="majorHAnsi" w:cstheme="majorHAnsi" w:hAnsiTheme="majorHAnsi"/>
          <w:i/>
          <w:iCs/>
          <w:color w:val="1A1A1B"/>
          <w:sz w:val="21"/>
          <w:szCs w:val="21"/>
          <w:shd w:fill="FFFFFF" w:val="clear"/>
        </w:rPr>
        <w:t xml:space="preserve">You can see in this figure that AlexNet’s hierarchical architecture is reminiscent of LeNet-5, with the first (left-hand) layer representing simple visual features like edges, and deeper layers representing increasingly complex features and abstract concepts. Shown at the bottom are examples of images to which the neurons in that layer maximally respond, recalling the layers of the biological visual system and demonstrating the hierarchical increase in visual feature complexity. In the example shown here, an image of a cat input into LeNet-5 is correctly identified as such (as implied by the green “CAT” output). “CONV” indicates the use of something called a convolutional layer, and “FC” is a fully connected layer (don’t worry we will formally explain these layer types in later chapters).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Though the architecture of AlexNet is reminiscent of LeNet-5, there are three principal factors that enabled AlexNet to be the state-of-the-art machine vision algorithm in 2012: </w:t>
      </w:r>
    </w:p>
    <w:p>
      <w:pPr>
        <w:pStyle w:val="ListParagraph"/>
        <w:numPr>
          <w:ilvl w:val="0"/>
          <w:numId w:val="1"/>
        </w:numPr>
        <w:rPr>
          <w:rFonts w:ascii="Arial" w:hAnsi="Arial" w:cs="Arial"/>
          <w:color w:val="1A1A1B"/>
          <w:sz w:val="21"/>
          <w:szCs w:val="21"/>
          <w:highlight w:val="white"/>
        </w:rPr>
      </w:pPr>
      <w:r>
        <w:rPr>
          <w:rFonts w:cs="Arial" w:ascii="Arial" w:hAnsi="Arial"/>
          <w:color w:val="1A1A1B"/>
          <w:sz w:val="21"/>
          <w:szCs w:val="21"/>
          <w:shd w:fill="FFFFFF" w:val="clear"/>
        </w:rPr>
        <w:t xml:space="preserve">Training data: Not only did Krizhevsky and his colleagues have access to the massive ImageNet index, they also artificially expanded the data available to them by applying transformations to the training images (you, too, will do this later). </w:t>
      </w:r>
    </w:p>
    <w:p>
      <w:pPr>
        <w:pStyle w:val="ListParagraph"/>
        <w:numPr>
          <w:ilvl w:val="0"/>
          <w:numId w:val="1"/>
        </w:numPr>
        <w:rPr>
          <w:rFonts w:ascii="Arial" w:hAnsi="Arial" w:cs="Arial"/>
          <w:color w:val="1A1A1B"/>
          <w:sz w:val="21"/>
          <w:szCs w:val="21"/>
          <w:highlight w:val="white"/>
        </w:rPr>
      </w:pPr>
      <w:r>
        <w:rPr>
          <w:rFonts w:cs="Arial" w:ascii="Arial" w:hAnsi="Arial"/>
          <w:color w:val="1A1A1B"/>
          <w:sz w:val="21"/>
          <w:szCs w:val="21"/>
          <w:shd w:fill="FFFFFF" w:val="clear"/>
        </w:rPr>
        <w:t xml:space="preserve">Processing power: Not only had computing power per unit of cost increased dramatically from 1998 to 2012, but Krizhevsky, Hinton, and Sutskever also programmed two GPUs24 to train their large datasets with previously unseen efficiency. </w:t>
      </w:r>
    </w:p>
    <w:p>
      <w:pPr>
        <w:pStyle w:val="ListParagraph"/>
        <w:numPr>
          <w:ilvl w:val="0"/>
          <w:numId w:val="1"/>
        </w:numPr>
        <w:rPr>
          <w:rFonts w:ascii="Arial" w:hAnsi="Arial" w:cs="Arial"/>
          <w:color w:val="1A1A1B"/>
          <w:sz w:val="21"/>
          <w:szCs w:val="21"/>
          <w:highlight w:val="white"/>
        </w:rPr>
      </w:pPr>
      <w:r>
        <w:rPr>
          <w:rFonts w:cs="Arial" w:ascii="Arial" w:hAnsi="Arial"/>
          <w:color w:val="1A1A1B"/>
          <w:sz w:val="21"/>
          <w:szCs w:val="21"/>
          <w:shd w:fill="FFFFFF" w:val="clear"/>
        </w:rPr>
        <w:t xml:space="preserve">Architectural Advances: AlexNet is deeper (has more layers) than LeNet-5, and it takes advantage of both a new type of artificial neuron and a nifty trick that helps generalize deep learning models beyond the data they’re trained on. </w:t>
      </w:r>
    </w:p>
    <w:p>
      <w:pPr>
        <w:pStyle w:val="Normal"/>
        <w:ind w:left="360" w:hanging="0"/>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drawing>
          <wp:inline distT="0" distB="1905" distL="0" distR="0">
            <wp:extent cx="1144270" cy="633095"/>
            <wp:effectExtent l="0" t="0" r="0" b="0"/>
            <wp:docPr id="26" name="Picture 18" descr="Image result for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Image result for GPU"/>
                    <pic:cNvPicPr>
                      <a:picLocks noChangeAspect="1" noChangeArrowheads="1"/>
                    </pic:cNvPicPr>
                  </pic:nvPicPr>
                  <pic:blipFill>
                    <a:blip r:embed="rId29"/>
                    <a:stretch>
                      <a:fillRect/>
                    </a:stretch>
                  </pic:blipFill>
                  <pic:spPr bwMode="auto">
                    <a:xfrm>
                      <a:off x="0" y="0"/>
                      <a:ext cx="1144270" cy="633095"/>
                    </a:xfrm>
                    <a:prstGeom prst="rect">
                      <a:avLst/>
                    </a:prstGeom>
                  </pic:spPr>
                </pic:pic>
              </a:graphicData>
            </a:graphic>
          </wp:inline>
        </w:drawing>
      </w:r>
      <w:r>
        <w:rPr/>
        <w:t xml:space="preserve"> </w:t>
      </w:r>
      <w:r>
        <w:rPr/>
        <w:drawing>
          <wp:inline distT="0" distB="0" distL="0" distR="0">
            <wp:extent cx="651510" cy="713105"/>
            <wp:effectExtent l="0" t="0" r="0" b="0"/>
            <wp:docPr id="27" name="Picture 15"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age result for writer sujatha"/>
                    <pic:cNvPicPr>
                      <a:picLocks noChangeAspect="1" noChangeArrowheads="1"/>
                    </pic:cNvPicPr>
                  </pic:nvPicPr>
                  <pic:blipFill>
                    <a:blip r:embed="rId30"/>
                    <a:stretch>
                      <a:fillRect/>
                    </a:stretch>
                  </pic:blipFill>
                  <pic:spPr bwMode="auto">
                    <a:xfrm flipH="1">
                      <a:off x="0" y="0"/>
                      <a:ext cx="651510" cy="713105"/>
                    </a:xfrm>
                    <a:prstGeom prst="rect">
                      <a:avLst/>
                    </a:prstGeom>
                  </pic:spPr>
                </pic:pic>
              </a:graphicData>
            </a:graphic>
          </wp:inline>
        </w:drawing>
      </w:r>
      <w:r>
        <w:rPr/>
        <w:t xml:space="preserve"> </w:t>
      </w:r>
      <w:r>
        <w:rPr>
          <w:rFonts w:cs="Calibri Light" w:ascii="Calibri Light" w:hAnsi="Calibri Light" w:asciiTheme="majorHAnsi" w:cstheme="majorHAnsi" w:hAnsiTheme="majorHAnsi"/>
          <w:i/>
          <w:iCs/>
          <w:color w:val="1A1A1B"/>
          <w:sz w:val="21"/>
          <w:szCs w:val="21"/>
          <w:shd w:fill="FFFFFF" w:val="clear"/>
        </w:rPr>
        <w:t>GPU stands for "Graphics Processing Unit." A GPU is a </w:t>
      </w:r>
      <w:hyperlink r:id="rId31">
        <w:r>
          <w:rPr>
            <w:rStyle w:val="ListLabel24"/>
            <w:rFonts w:cs="Calibri Light" w:ascii="Calibri Light" w:hAnsi="Calibri Light" w:asciiTheme="majorHAnsi" w:cstheme="majorHAnsi" w:hAnsiTheme="majorHAnsi"/>
            <w:i/>
            <w:iCs/>
            <w:color w:val="1A1A1B"/>
            <w:sz w:val="21"/>
            <w:szCs w:val="21"/>
          </w:rPr>
          <w:t>processor</w:t>
        </w:r>
      </w:hyperlink>
      <w:r>
        <w:rPr>
          <w:rFonts w:cs="Calibri Light" w:ascii="Calibri Light" w:hAnsi="Calibri Light" w:asciiTheme="majorHAnsi" w:cstheme="majorHAnsi" w:hAnsiTheme="majorHAnsi"/>
          <w:i/>
          <w:iCs/>
          <w:color w:val="1A1A1B"/>
          <w:sz w:val="21"/>
          <w:szCs w:val="21"/>
          <w:shd w:fill="FFFFFF" w:val="clear"/>
        </w:rPr>
        <w:t> designed to handle </w:t>
      </w:r>
      <w:hyperlink r:id="rId32">
        <w:r>
          <w:rPr>
            <w:rStyle w:val="ListLabel24"/>
            <w:rFonts w:cs="Calibri Light" w:ascii="Calibri Light" w:hAnsi="Calibri Light" w:asciiTheme="majorHAnsi" w:cstheme="majorHAnsi" w:hAnsiTheme="majorHAnsi"/>
            <w:i/>
            <w:iCs/>
            <w:color w:val="1A1A1B"/>
            <w:sz w:val="21"/>
            <w:szCs w:val="21"/>
          </w:rPr>
          <w:t>graphics</w:t>
        </w:r>
      </w:hyperlink>
      <w:r>
        <w:rPr>
          <w:rFonts w:cs="Calibri Light" w:ascii="Calibri Light" w:hAnsi="Calibri Light" w:asciiTheme="majorHAnsi" w:cstheme="majorHAnsi" w:hAnsiTheme="majorHAnsi"/>
          <w:i/>
          <w:iCs/>
          <w:color w:val="1A1A1B"/>
          <w:sz w:val="21"/>
          <w:szCs w:val="21"/>
          <w:shd w:fill="FFFFFF" w:val="clear"/>
        </w:rPr>
        <w:t> operations. This includes both 2D and 3D calculations, though GPUs primarily excel at rendering 3D graphics. Early </w:t>
      </w:r>
      <w:hyperlink r:id="rId33">
        <w:r>
          <w:rPr>
            <w:rStyle w:val="ListLabel25"/>
            <w:rFonts w:cs="Calibri Light" w:ascii="Calibri Light" w:hAnsi="Calibri Light" w:asciiTheme="majorHAnsi" w:cstheme="majorHAnsi" w:hAnsiTheme="majorHAnsi"/>
            <w:i/>
            <w:iCs/>
            <w:color w:val="1A1A1B"/>
            <w:sz w:val="21"/>
            <w:szCs w:val="21"/>
            <w:shd w:fill="FFFFFF" w:val="clear"/>
          </w:rPr>
          <w:t>PCs</w:t>
        </w:r>
      </w:hyperlink>
      <w:r>
        <w:rPr>
          <w:rFonts w:cs="Calibri Light" w:ascii="Calibri Light" w:hAnsi="Calibri Light" w:asciiTheme="majorHAnsi" w:cstheme="majorHAnsi" w:hAnsiTheme="majorHAnsi"/>
          <w:i/>
          <w:iCs/>
          <w:color w:val="1A1A1B"/>
          <w:sz w:val="21"/>
          <w:szCs w:val="21"/>
          <w:shd w:fill="FFFFFF" w:val="clear"/>
        </w:rPr>
        <w:t> did not include GPUs, which meant the </w:t>
      </w:r>
      <w:hyperlink r:id="rId34">
        <w:r>
          <w:rPr>
            <w:rStyle w:val="ListLabel25"/>
            <w:rFonts w:cs="Calibri Light" w:ascii="Calibri Light" w:hAnsi="Calibri Light" w:asciiTheme="majorHAnsi" w:cstheme="majorHAnsi" w:hAnsiTheme="majorHAnsi"/>
            <w:i/>
            <w:iCs/>
            <w:color w:val="1A1A1B"/>
            <w:sz w:val="21"/>
            <w:szCs w:val="21"/>
            <w:shd w:fill="FFFFFF" w:val="clear"/>
          </w:rPr>
          <w:t>CPU</w:t>
        </w:r>
      </w:hyperlink>
      <w:r>
        <w:rPr>
          <w:rFonts w:cs="Calibri Light" w:ascii="Calibri Light" w:hAnsi="Calibri Light" w:asciiTheme="majorHAnsi" w:cstheme="majorHAnsi" w:hAnsiTheme="majorHAnsi"/>
          <w:i/>
          <w:iCs/>
          <w:color w:val="1A1A1B"/>
          <w:sz w:val="21"/>
          <w:szCs w:val="21"/>
          <w:shd w:fill="FFFFFF" w:val="clear"/>
        </w:rPr>
        <w:t> had to handle all standard calculations and graphics operations. As </w:t>
      </w:r>
      <w:hyperlink r:id="rId35">
        <w:r>
          <w:rPr>
            <w:rStyle w:val="ListLabel25"/>
            <w:rFonts w:cs="Calibri Light" w:ascii="Calibri Light" w:hAnsi="Calibri Light" w:asciiTheme="majorHAnsi" w:cstheme="majorHAnsi" w:hAnsiTheme="majorHAnsi"/>
            <w:i/>
            <w:iCs/>
            <w:color w:val="1A1A1B"/>
            <w:sz w:val="21"/>
            <w:szCs w:val="21"/>
            <w:shd w:fill="FFFFFF" w:val="clear"/>
          </w:rPr>
          <w:t>software</w:t>
        </w:r>
      </w:hyperlink>
      <w:r>
        <w:rPr>
          <w:rFonts w:cs="Calibri Light" w:ascii="Calibri Light" w:hAnsi="Calibri Light" w:asciiTheme="majorHAnsi" w:cstheme="majorHAnsi" w:hAnsiTheme="majorHAnsi"/>
          <w:i/>
          <w:iCs/>
          <w:color w:val="1A1A1B"/>
          <w:sz w:val="21"/>
          <w:szCs w:val="21"/>
          <w:shd w:fill="FFFFFF" w:val="clear"/>
        </w:rPr>
        <w:t> demands increased and graphics became more important (especially in video games), a need arose for a separate processor to render graphics. On August 31, 1999, NVIDIA introduced the first commercially available GPU for a </w:t>
      </w:r>
      <w:hyperlink r:id="rId36">
        <w:r>
          <w:rPr>
            <w:rStyle w:val="ListLabel25"/>
            <w:rFonts w:cs="Calibri Light" w:ascii="Calibri Light" w:hAnsi="Calibri Light" w:asciiTheme="majorHAnsi" w:cstheme="majorHAnsi" w:hAnsiTheme="majorHAnsi"/>
            <w:i/>
            <w:iCs/>
            <w:color w:val="1A1A1B"/>
            <w:sz w:val="21"/>
            <w:szCs w:val="21"/>
            <w:shd w:fill="FFFFFF" w:val="clear"/>
          </w:rPr>
          <w:t>desktop computer</w:t>
        </w:r>
      </w:hyperlink>
      <w:r>
        <w:rPr>
          <w:rFonts w:cs="Calibri Light" w:ascii="Calibri Light" w:hAnsi="Calibri Light" w:asciiTheme="majorHAnsi" w:cstheme="majorHAnsi" w:hAnsiTheme="majorHAnsi"/>
          <w:i/>
          <w:iCs/>
          <w:color w:val="1A1A1B"/>
          <w:sz w:val="21"/>
          <w:szCs w:val="21"/>
          <w:shd w:fill="FFFFFF" w:val="clear"/>
        </w:rPr>
        <w:t xml:space="preserve">, called the GeForce 256. </w:t>
      </w:r>
    </w:p>
    <w:p>
      <w:pPr>
        <w:pStyle w:val="Normal"/>
        <w:rPr/>
      </w:pPr>
      <w:r>
        <w:rPr/>
        <w:drawing>
          <wp:inline distT="0" distB="0" distL="0" distR="1905">
            <wp:extent cx="1560195" cy="927100"/>
            <wp:effectExtent l="0" t="0" r="0" b="0"/>
            <wp:docPr id="28" name="Picture 43" descr="Image result for GeForc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descr="Image result for GeForce 256"/>
                    <pic:cNvPicPr>
                      <a:picLocks noChangeAspect="1" noChangeArrowheads="1"/>
                    </pic:cNvPicPr>
                  </pic:nvPicPr>
                  <pic:blipFill>
                    <a:blip r:embed="rId37"/>
                    <a:stretch>
                      <a:fillRect/>
                    </a:stretch>
                  </pic:blipFill>
                  <pic:spPr bwMode="auto">
                    <a:xfrm>
                      <a:off x="0" y="0"/>
                      <a:ext cx="1560195" cy="927100"/>
                    </a:xfrm>
                    <a:prstGeom prst="rect">
                      <a:avLst/>
                    </a:prstGeom>
                  </pic:spPr>
                </pic:pic>
              </a:graphicData>
            </a:graphic>
          </wp:inline>
        </w:drawing>
      </w:r>
    </w:p>
    <w:p>
      <w:pPr>
        <w:pStyle w:val="Normal"/>
        <w:rPr>
          <w:rFonts w:ascii="Calibri Light" w:hAnsi="Calibri Light" w:cs="Calibri Light" w:asciiTheme="majorHAnsi" w:cstheme="majorHAnsi" w:hAnsiTheme="majorHAnsi"/>
          <w:color w:val="1A1A1B"/>
          <w:sz w:val="21"/>
          <w:szCs w:val="21"/>
          <w:highlight w:val="white"/>
        </w:rPr>
      </w:pPr>
      <w:r>
        <w:rPr>
          <w:rFonts w:cs="Calibri Light" w:cstheme="majorHAnsi" w:ascii="Calibri Light" w:hAnsi="Calibri Light"/>
          <w:color w:val="1A1A1B"/>
          <w:sz w:val="21"/>
          <w:szCs w:val="21"/>
          <w:shd w:fill="FFFFFF" w:val="clear"/>
        </w:rPr>
      </w:r>
    </w:p>
    <w:p>
      <w:pPr>
        <w:pStyle w:val="Normal"/>
        <w:rPr/>
      </w:pPr>
      <w:r>
        <w:rPr>
          <w:rFonts w:cs="Calibri Light" w:ascii="Calibri Light" w:hAnsi="Calibri Light" w:asciiTheme="majorHAnsi" w:cstheme="majorHAnsi" w:hAnsiTheme="majorHAnsi"/>
          <w:i/>
          <w:iCs/>
          <w:color w:val="1A1A1B"/>
          <w:sz w:val="21"/>
          <w:szCs w:val="21"/>
          <w:shd w:fill="FFFFFF" w:val="clear"/>
        </w:rPr>
        <w:t>It could process 10 million polygons per second, allowing it to offload a significant amount of graphics processing from the CPU. The success of the first graphics processing unit caused both </w:t>
      </w:r>
      <w:hyperlink r:id="rId38">
        <w:r>
          <w:rPr>
            <w:rStyle w:val="ListLabel25"/>
            <w:rFonts w:cs="Calibri Light" w:ascii="Calibri Light" w:hAnsi="Calibri Light" w:asciiTheme="majorHAnsi" w:cstheme="majorHAnsi" w:hAnsiTheme="majorHAnsi"/>
            <w:i/>
            <w:iCs/>
            <w:color w:val="1A1A1B"/>
            <w:sz w:val="21"/>
            <w:szCs w:val="21"/>
            <w:shd w:fill="FFFFFF" w:val="clear"/>
          </w:rPr>
          <w:t>hardware</w:t>
        </w:r>
      </w:hyperlink>
      <w:r>
        <w:rPr>
          <w:rFonts w:cs="Calibri Light" w:ascii="Calibri Light" w:hAnsi="Calibri Light" w:asciiTheme="majorHAnsi" w:cstheme="majorHAnsi" w:hAnsiTheme="majorHAnsi"/>
          <w:i/>
          <w:iCs/>
          <w:color w:val="1A1A1B"/>
          <w:sz w:val="21"/>
          <w:szCs w:val="21"/>
          <w:shd w:fill="FFFFFF" w:val="clear"/>
        </w:rPr>
        <w:t> and software developers alike to quickly adopt GPU support. </w:t>
      </w:r>
      <w:hyperlink r:id="rId39">
        <w:r>
          <w:rPr>
            <w:rStyle w:val="ListLabel25"/>
            <w:rFonts w:cs="Calibri Light" w:ascii="Calibri Light" w:hAnsi="Calibri Light" w:asciiTheme="majorHAnsi" w:cstheme="majorHAnsi" w:hAnsiTheme="majorHAnsi"/>
            <w:i/>
            <w:iCs/>
            <w:color w:val="1A1A1B"/>
            <w:sz w:val="21"/>
            <w:szCs w:val="21"/>
            <w:shd w:fill="FFFFFF" w:val="clear"/>
          </w:rPr>
          <w:t>Motherboards</w:t>
        </w:r>
      </w:hyperlink>
      <w:r>
        <w:rPr>
          <w:rFonts w:cs="Calibri Light" w:ascii="Calibri Light" w:hAnsi="Calibri Light" w:asciiTheme="majorHAnsi" w:cstheme="majorHAnsi" w:hAnsiTheme="majorHAnsi"/>
          <w:i/>
          <w:iCs/>
          <w:color w:val="1A1A1B"/>
          <w:sz w:val="21"/>
          <w:szCs w:val="21"/>
          <w:shd w:fill="FFFFFF" w:val="clear"/>
        </w:rPr>
        <w:t> were manufactured with faster </w:t>
      </w:r>
      <w:hyperlink r:id="rId40">
        <w:r>
          <w:rPr>
            <w:rStyle w:val="ListLabel25"/>
            <w:rFonts w:cs="Calibri Light" w:ascii="Calibri Light" w:hAnsi="Calibri Light" w:asciiTheme="majorHAnsi" w:cstheme="majorHAnsi" w:hAnsiTheme="majorHAnsi"/>
            <w:i/>
            <w:iCs/>
            <w:color w:val="1A1A1B"/>
            <w:sz w:val="21"/>
            <w:szCs w:val="21"/>
            <w:shd w:fill="FFFFFF" w:val="clear"/>
          </w:rPr>
          <w:t>PCI</w:t>
        </w:r>
      </w:hyperlink>
      <w:r>
        <w:rPr>
          <w:rFonts w:cs="Calibri Light" w:ascii="Calibri Light" w:hAnsi="Calibri Light" w:asciiTheme="majorHAnsi" w:cstheme="majorHAnsi" w:hAnsiTheme="majorHAnsi"/>
          <w:i/>
          <w:iCs/>
          <w:color w:val="1A1A1B"/>
          <w:sz w:val="21"/>
          <w:szCs w:val="21"/>
          <w:shd w:fill="FFFFFF" w:val="clear"/>
        </w:rPr>
        <w:t> slots and </w:t>
      </w:r>
      <w:hyperlink r:id="rId41">
        <w:r>
          <w:rPr>
            <w:rStyle w:val="ListLabel25"/>
            <w:rFonts w:cs="Calibri Light" w:ascii="Calibri Light" w:hAnsi="Calibri Light" w:asciiTheme="majorHAnsi" w:cstheme="majorHAnsi" w:hAnsiTheme="majorHAnsi"/>
            <w:i/>
            <w:iCs/>
            <w:color w:val="1A1A1B"/>
            <w:sz w:val="21"/>
            <w:szCs w:val="21"/>
            <w:shd w:fill="FFFFFF" w:val="clear"/>
          </w:rPr>
          <w:t>AGP</w:t>
        </w:r>
      </w:hyperlink>
      <w:r>
        <w:rPr>
          <w:rFonts w:cs="Calibri Light" w:ascii="Calibri Light" w:hAnsi="Calibri Light" w:asciiTheme="majorHAnsi" w:cstheme="majorHAnsi" w:hAnsiTheme="majorHAnsi"/>
          <w:i/>
          <w:iCs/>
          <w:color w:val="1A1A1B"/>
          <w:sz w:val="21"/>
          <w:szCs w:val="21"/>
          <w:shd w:fill="FFFFFF" w:val="clear"/>
        </w:rPr>
        <w:t> slots, designed exclusively for </w:t>
      </w:r>
      <w:hyperlink r:id="rId42">
        <w:r>
          <w:rPr>
            <w:rStyle w:val="ListLabel25"/>
            <w:rFonts w:cs="Calibri Light" w:ascii="Calibri Light" w:hAnsi="Calibri Light" w:asciiTheme="majorHAnsi" w:cstheme="majorHAnsi" w:hAnsiTheme="majorHAnsi"/>
            <w:i/>
            <w:iCs/>
            <w:color w:val="1A1A1B"/>
            <w:sz w:val="21"/>
            <w:szCs w:val="21"/>
            <w:shd w:fill="FFFFFF" w:val="clear"/>
          </w:rPr>
          <w:t>graphics cards</w:t>
        </w:r>
      </w:hyperlink>
      <w:r>
        <w:rPr>
          <w:rFonts w:cs="Calibri Light" w:ascii="Calibri Light" w:hAnsi="Calibri Light" w:asciiTheme="majorHAnsi" w:cstheme="majorHAnsi" w:hAnsiTheme="majorHAnsi"/>
          <w:i/>
          <w:iCs/>
          <w:color w:val="1A1A1B"/>
          <w:sz w:val="21"/>
          <w:szCs w:val="21"/>
          <w:shd w:fill="FFFFFF" w:val="clear"/>
        </w:rPr>
        <w:t>, became a common option as well. Software </w:t>
      </w:r>
      <w:hyperlink r:id="rId43">
        <w:r>
          <w:rPr>
            <w:rStyle w:val="ListLabel25"/>
            <w:rFonts w:cs="Calibri Light" w:ascii="Calibri Light" w:hAnsi="Calibri Light" w:asciiTheme="majorHAnsi" w:cstheme="majorHAnsi" w:hAnsiTheme="majorHAnsi"/>
            <w:i/>
            <w:iCs/>
            <w:color w:val="1A1A1B"/>
            <w:sz w:val="21"/>
            <w:szCs w:val="21"/>
            <w:shd w:fill="FFFFFF" w:val="clear"/>
          </w:rPr>
          <w:t>APIs</w:t>
        </w:r>
      </w:hyperlink>
      <w:r>
        <w:rPr>
          <w:rFonts w:cs="Calibri Light" w:ascii="Calibri Light" w:hAnsi="Calibri Light" w:asciiTheme="majorHAnsi" w:cstheme="majorHAnsi" w:hAnsiTheme="majorHAnsi"/>
          <w:i/>
          <w:iCs/>
          <w:color w:val="1A1A1B"/>
          <w:sz w:val="21"/>
          <w:szCs w:val="21"/>
          <w:shd w:fill="FFFFFF" w:val="clear"/>
        </w:rPr>
        <w:t> like </w:t>
      </w:r>
      <w:hyperlink r:id="rId44">
        <w:r>
          <w:rPr>
            <w:rStyle w:val="ListLabel25"/>
            <w:rFonts w:cs="Calibri Light" w:ascii="Calibri Light" w:hAnsi="Calibri Light" w:asciiTheme="majorHAnsi" w:cstheme="majorHAnsi" w:hAnsiTheme="majorHAnsi"/>
            <w:i/>
            <w:iCs/>
            <w:color w:val="1A1A1B"/>
            <w:sz w:val="21"/>
            <w:szCs w:val="21"/>
            <w:shd w:fill="FFFFFF" w:val="clear"/>
          </w:rPr>
          <w:t>OpenGL</w:t>
        </w:r>
      </w:hyperlink>
      <w:r>
        <w:rPr>
          <w:rFonts w:cs="Calibri Light" w:ascii="Calibri Light" w:hAnsi="Calibri Light" w:asciiTheme="majorHAnsi" w:cstheme="majorHAnsi" w:hAnsiTheme="majorHAnsi"/>
          <w:i/>
          <w:iCs/>
          <w:color w:val="1A1A1B"/>
          <w:sz w:val="21"/>
          <w:szCs w:val="21"/>
          <w:shd w:fill="FFFFFF" w:val="clear"/>
        </w:rPr>
        <w:t> and </w:t>
      </w:r>
      <w:hyperlink r:id="rId45">
        <w:r>
          <w:rPr>
            <w:rStyle w:val="ListLabel25"/>
            <w:rFonts w:cs="Calibri Light" w:ascii="Calibri Light" w:hAnsi="Calibri Light" w:asciiTheme="majorHAnsi" w:cstheme="majorHAnsi" w:hAnsiTheme="majorHAnsi"/>
            <w:i/>
            <w:iCs/>
            <w:color w:val="1A1A1B"/>
            <w:sz w:val="21"/>
            <w:szCs w:val="21"/>
            <w:shd w:fill="FFFFFF" w:val="clear"/>
          </w:rPr>
          <w:t>Direct3D</w:t>
        </w:r>
      </w:hyperlink>
      <w:r>
        <w:rPr>
          <w:rFonts w:cs="Calibri Light" w:ascii="Calibri Light" w:hAnsi="Calibri Light" w:asciiTheme="majorHAnsi" w:cstheme="majorHAnsi" w:hAnsiTheme="majorHAnsi"/>
          <w:i/>
          <w:iCs/>
          <w:color w:val="1A1A1B"/>
          <w:sz w:val="21"/>
          <w:szCs w:val="21"/>
          <w:shd w:fill="FFFFFF" w:val="clear"/>
        </w:rPr>
        <w:t> were created to help developers make use of GPUs in their programs. Today, dedicated graphics processing is standard – not just in desktop PCs – but also in </w:t>
      </w:r>
      <w:hyperlink r:id="rId46">
        <w:r>
          <w:rPr>
            <w:rStyle w:val="ListLabel25"/>
            <w:rFonts w:cs="Calibri Light" w:ascii="Calibri Light" w:hAnsi="Calibri Light" w:asciiTheme="majorHAnsi" w:cstheme="majorHAnsi" w:hAnsiTheme="majorHAnsi"/>
            <w:i/>
            <w:iCs/>
            <w:color w:val="1A1A1B"/>
            <w:sz w:val="21"/>
            <w:szCs w:val="21"/>
            <w:shd w:fill="FFFFFF" w:val="clear"/>
          </w:rPr>
          <w:t>laptops</w:t>
        </w:r>
      </w:hyperlink>
      <w:r>
        <w:rPr>
          <w:rFonts w:cs="Calibri Light" w:ascii="Calibri Light" w:hAnsi="Calibri Light" w:asciiTheme="majorHAnsi" w:cstheme="majorHAnsi" w:hAnsiTheme="majorHAnsi"/>
          <w:i/>
          <w:iCs/>
          <w:color w:val="1A1A1B"/>
          <w:sz w:val="21"/>
          <w:szCs w:val="21"/>
          <w:shd w:fill="FFFFFF" w:val="clear"/>
        </w:rPr>
        <w:t>, </w:t>
      </w:r>
      <w:hyperlink r:id="rId47">
        <w:r>
          <w:rPr>
            <w:rStyle w:val="ListLabel25"/>
            <w:rFonts w:cs="Calibri Light" w:ascii="Calibri Light" w:hAnsi="Calibri Light" w:asciiTheme="majorHAnsi" w:cstheme="majorHAnsi" w:hAnsiTheme="majorHAnsi"/>
            <w:i/>
            <w:iCs/>
            <w:color w:val="1A1A1B"/>
            <w:sz w:val="21"/>
            <w:szCs w:val="21"/>
            <w:shd w:fill="FFFFFF" w:val="clear"/>
          </w:rPr>
          <w:t>smartphones</w:t>
        </w:r>
      </w:hyperlink>
      <w:r>
        <w:rPr>
          <w:rFonts w:cs="Calibri Light" w:ascii="Calibri Light" w:hAnsi="Calibri Light" w:asciiTheme="majorHAnsi" w:cstheme="majorHAnsi" w:hAnsiTheme="majorHAnsi"/>
          <w:i/>
          <w:iCs/>
          <w:color w:val="1A1A1B"/>
          <w:sz w:val="21"/>
          <w:szCs w:val="21"/>
          <w:shd w:fill="FFFFFF" w:val="clear"/>
        </w:rPr>
        <w:t xml:space="preserve">, and video game consoles. These are designed primarily for rendering video games but are well suited to performing the matrix multiplication that abounds in </w:t>
      </w:r>
      <w:r>
        <w:rPr>
          <w:rFonts w:cs="Calibri Light" w:ascii="Calibri Light" w:hAnsi="Calibri Light" w:asciiTheme="majorHAnsi" w:cstheme="majorHAnsi" w:hAnsiTheme="majorHAnsi"/>
          <w:b/>
          <w:bCs/>
          <w:i/>
          <w:iCs/>
          <w:color w:val="1A1A1B"/>
          <w:sz w:val="21"/>
          <w:szCs w:val="21"/>
          <w:shd w:fill="FFFFFF" w:val="clear"/>
        </w:rPr>
        <w:t>deep learning</w:t>
      </w:r>
      <w:r>
        <w:rPr>
          <w:rFonts w:cs="Calibri Light" w:ascii="Calibri Light" w:hAnsi="Calibri Light" w:asciiTheme="majorHAnsi" w:cstheme="majorHAnsi" w:hAnsiTheme="majorHAnsi"/>
          <w:i/>
          <w:iCs/>
          <w:color w:val="1A1A1B"/>
          <w:sz w:val="21"/>
          <w:szCs w:val="21"/>
          <w:shd w:fill="FFFFFF" w:val="clear"/>
        </w:rPr>
        <w:t xml:space="preserve"> across hundreds of parallel computing threads.</w:t>
      </w:r>
      <w:r>
        <w:rPr>
          <w:rFonts w:cs="Arial" w:ascii="Arial" w:hAnsi="Arial"/>
          <w:i/>
          <w:iCs/>
          <w:color w:val="1A1A1B"/>
          <w:sz w:val="21"/>
          <w:szCs w:val="21"/>
          <w:shd w:fill="FFFFFF" w:val="clear"/>
        </w:rPr>
        <w:t xml:space="preserve">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 </w:t>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What really makes the industry practitioners view Deep Learning as “Disruptive”?</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ILSVRC case study underlines why deep learning models like AlexNet are considered widely applicable and disruptive across industries and computational applications. </w:t>
      </w:r>
      <w:r>
        <w:rPr>
          <w:rFonts w:cs="Arial" w:ascii="Arial" w:hAnsi="Arial"/>
          <w:i/>
          <w:iCs/>
          <w:color w:val="1A1A1B"/>
          <w:sz w:val="21"/>
          <w:szCs w:val="21"/>
          <w:shd w:fill="FFFFFF" w:val="clear"/>
        </w:rPr>
        <w:t>These models dramatically reduce the subject-matter expertise required for building highly accurate predictive models</w:t>
      </w:r>
      <w:r>
        <w:rPr>
          <w:rFonts w:cs="Arial" w:ascii="Arial" w:hAnsi="Arial"/>
          <w:color w:val="1A1A1B"/>
          <w:sz w:val="21"/>
          <w:szCs w:val="21"/>
          <w:shd w:fill="FFFFFF" w:val="clear"/>
        </w:rPr>
        <w:t xml:space="preserve">. This trend away from expertise-driven feature engineering and toward surprisingly powerful automatic-feature-generating deep learning models has been prevalently borne out across not only vision applications, but also, for example, the playing of complex games (the topic of Chapter 4) and natural language processing (Chapter 2).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Today, one no longer needs to be a specialist in the visual attributes of faces to create a face-recognition algorithm. One no longer requires a thorough understanding of a game’s strategies to write a program that can master it. One no longer needs to be an authority on the structure and semantics of each of several languages to develop a language-translation tool. For a rapidly growing list of use cases, one’s ability to apply deep learning techniques outweighs the value of domain-specific proficiency. While such proficiency formerly may have necessitated a doctoral degree or perhaps years of postdoctoral research within a given domain, a functional level of deep learning capability can be developed with relative ease— as by working through this book!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TensorFlow Playground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For a fun, interactive way to crystallize the hierarchical, feature-learning nature of deep learning, make your way to the TensorFlow Playground at bit.ly/ TFplayground. When you use this custom link, your network should automatically look similar to the one shown in the figure below.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In Part II we will return to define all of the terms on the screen; for the present exercise, they can be safely ignored. It suffices at this time to know that this is a deep learning model. The model architecture consists of six layers of artificial neurons: an input layer on the left (below the “FEATURES” heading), four “HIDDEN LAYERS” (which bear the responsibility of learning), and an “OUTPUT” layer (the grid on the far right ranging from –6 to + 6 on both axes).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network’s goal is to learn how to distinguish orange dots (negative cases) from blue dots (positive cases) based solely on their location on the grid. As such, in the input layer, we are only feeding in two pieces of information about each dot: its horizontal position (X1) and its vertical position (X2). The dots that will be used as training data are shown by default on the grid. By clicking the Show test data toggle, you can also see the location of dots that will be used to assess the performance of the network as it learns. Critically, these test data are not available to the network while it’s learning, so they help us ensure that the network generalizes well to new, unseen data.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drawing>
          <wp:inline distT="0" distB="0" distL="0" distR="0">
            <wp:extent cx="3886835" cy="2376805"/>
            <wp:effectExtent l="0" t="0" r="0" b="0"/>
            <wp:docPr id="2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A screenshot of a cell phone&#10;&#10;Description automatically generated"/>
                    <pic:cNvPicPr>
                      <a:picLocks noChangeAspect="1" noChangeArrowheads="1"/>
                    </pic:cNvPicPr>
                  </pic:nvPicPr>
                  <pic:blipFill>
                    <a:blip r:embed="rId48"/>
                    <a:stretch>
                      <a:fillRect/>
                    </a:stretch>
                  </pic:blipFill>
                  <pic:spPr bwMode="auto">
                    <a:xfrm>
                      <a:off x="0" y="0"/>
                      <a:ext cx="3886835" cy="2376805"/>
                    </a:xfrm>
                    <a:prstGeom prst="rect">
                      <a:avLst/>
                    </a:prstGeom>
                  </pic:spPr>
                </pic:pic>
              </a:graphicData>
            </a:graphic>
          </wp:inline>
        </w:drawing>
      </w:r>
    </w:p>
    <w:p>
      <w:pPr>
        <w:pStyle w:val="Normal"/>
        <w:rPr>
          <w:rFonts w:ascii="Calibri Light" w:hAnsi="Calibri Light" w:cs="Calibri Light" w:asciiTheme="majorHAnsi" w:cstheme="majorHAnsi" w:hAnsiTheme="majorHAnsi"/>
          <w:i/>
          <w:i/>
          <w:iCs/>
          <w:color w:val="1A1A1B"/>
          <w:sz w:val="18"/>
          <w:szCs w:val="18"/>
          <w:highlight w:val="white"/>
        </w:rPr>
      </w:pPr>
      <w:r>
        <w:rPr>
          <w:rFonts w:cs="Calibri Light" w:ascii="Calibri Light" w:hAnsi="Calibri Light" w:asciiTheme="majorHAnsi" w:cstheme="majorHAnsi" w:hAnsiTheme="majorHAnsi"/>
          <w:i/>
          <w:iCs/>
          <w:color w:val="1A1A1B"/>
          <w:sz w:val="18"/>
          <w:szCs w:val="18"/>
          <w:shd w:fill="FFFFFF" w:val="clear"/>
        </w:rPr>
        <w:t xml:space="preserve">This deep neural network is ready to learn how to distinguish a spiral of orange dots (negative cases) from blue dots (positive cases) based on their position on the X1 and X2 axes of the grid on the right. "A screenshot shows the Tensorflow interface. The interface is divided into four parts, vertically: data, features, hidden layers, and output. Data: four types of dataset are given, of which the spiral type is selected. The ratio of training to test data is set to 50 percent, the noise is set to 0 and the batch size is set to 10. The section has "Regenerate" command button. The next one is "Features" which includes options to select several input layers. Here, two inputs X1 and X2 are selected. To the right of the 'features' is the hidden layers section, with 4 layers placed one next to another. There are add and delete buttons to increase or reduce the number of neurons in each layer. The 4 layers are interconnected. Here, the first layer has 8 neurons, the second layer has 8 neurons, the third layer has 4 neurons and the fourth layer has 2 neurons. There are add and delete buttons to modify the number of hidden layers too. The final hidden layer is connected to the output.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output here shows a spiral-shaped graph constituted of orange and blue dots lying alternatively in the graph. In the output, test loss is 0.501 and training loss is 0.509. Below the output is a scale where "colors shows data, neurons and weight values." For pure orange it starts from -1, for white, it is 0, and for blue it is 1. Below this are two checkboxes titled "Show test data" and "Discretize output," both not selected. Click the prominent Play arrow in the top-left corner. Enable the network to train until the “Training loss” and “Test loss” in the top-right corner have both approached zero— say, less than 0.05. How long this takes will depend on the hardware you’re using but hopefully will not be more than a few minutes.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 captured in the figure below, you should now see the network’s artificial neurons representing the input data, with increasing complexity and abstraction the deeper (further to the right) they are positioned— as in the neocognitron, LeNet-5, and AlexNet. Every time the network is run, the neuron-level details of how the network solves the spiral classification problem are unique, but the general approach remains the same (to see this for yourself, you can refresh the page and retrain the network).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artificial neurons in the leftmost hidden layer are specialized in distinguishing edges (straight lines), each at a particular orientation. Neurons from the first hidden layer pass information to neurons in the second hidden layer, each of which recombines the edges into slightly more complex features like curves. The neurons in each successive layer recombine information from the neurons of the preceding layer, gradually increasing the complexity and abstraction of the features the neurons can represent. By the final (rightmost) layer, the neurons are adept at representing the intricacies of the spiral shape, enabling the network to accurately predict whether a dot is orange (a negative case) or blue (a positive case) based on its position (its X1 and X2 coordinates) in the grid. Hover over a neuron to project it onto the far-right “OUTPUT” grid and examine its individual specialization in detail.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drawing>
          <wp:inline distT="0" distB="0" distL="0" distR="635">
            <wp:extent cx="5269865" cy="3378835"/>
            <wp:effectExtent l="0" t="0" r="0" b="0"/>
            <wp:docPr id="30"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3" descr="A close up of a map&#10;&#10;Description automatically generated"/>
                    <pic:cNvPicPr>
                      <a:picLocks noChangeAspect="1" noChangeArrowheads="1"/>
                    </pic:cNvPicPr>
                  </pic:nvPicPr>
                  <pic:blipFill>
                    <a:blip r:embed="rId49"/>
                    <a:stretch>
                      <a:fillRect/>
                    </a:stretch>
                  </pic:blipFill>
                  <pic:spPr bwMode="auto">
                    <a:xfrm>
                      <a:off x="0" y="0"/>
                      <a:ext cx="5269865" cy="337883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Figure 1.19 The network after training </w:t>
      </w:r>
    </w:p>
    <w:p>
      <w:pPr>
        <w:pStyle w:val="Normal"/>
        <w:rPr>
          <w:rFonts w:ascii="Calibri Light" w:hAnsi="Calibri Light" w:cs="Calibri Light" w:asciiTheme="majorHAnsi" w:cstheme="majorHAnsi" w:hAnsiTheme="majorHAnsi"/>
          <w:i/>
          <w:i/>
          <w:iCs/>
          <w:color w:val="1A1A1B"/>
          <w:sz w:val="18"/>
          <w:szCs w:val="18"/>
          <w:highlight w:val="white"/>
        </w:rPr>
      </w:pPr>
      <w:r>
        <w:rPr>
          <w:rFonts w:cs="Calibri Light" w:ascii="Calibri Light" w:hAnsi="Calibri Light" w:asciiTheme="majorHAnsi" w:cstheme="majorHAnsi" w:hAnsiTheme="majorHAnsi"/>
          <w:i/>
          <w:iCs/>
          <w:color w:val="1A1A1B"/>
          <w:sz w:val="18"/>
          <w:szCs w:val="18"/>
          <w:shd w:fill="FFFFFF" w:val="clear"/>
        </w:rPr>
        <w:t xml:space="preserve">The TensorFlow screen shows the output of the trained network. The spiral dataset is selected. The input layer has values X1 and X2 fed into it. There are 4 hidden layers, that have 8 neurons, 8 neurons, 4 neurons, and 2 neurons respectively. The number of hidden layers and the number of neurons in a layer are editable. The output shows a test loss of 0.010 and a training loss of 0.004. The final output shows the blue and orange spiral surrounded by blue or orange region. The blue spiral lies within the blue region and the orange spiral lies within the orange region. This shows that the trained network correctly detected the blue and orange dots with the X1 and X2 coordinates.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Realtime doodling and machine vision</w:t>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 interactively experience a deep learning network carrying out a machine vision task in real time, navigate to quickdraw.withgoogle.com to play the Quick, Draw! game. </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drawing>
          <wp:inline distT="0" distB="0" distL="0" distR="4445">
            <wp:extent cx="3996055" cy="2339340"/>
            <wp:effectExtent l="0" t="0" r="0" b="0"/>
            <wp:docPr id="31"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7" descr="A screenshot of a cell phone&#10;&#10;Description automatically generated"/>
                    <pic:cNvPicPr>
                      <a:picLocks noChangeAspect="1" noChangeArrowheads="1"/>
                    </pic:cNvPicPr>
                  </pic:nvPicPr>
                  <pic:blipFill>
                    <a:blip r:embed="rId50"/>
                    <a:stretch>
                      <a:fillRect/>
                    </a:stretch>
                  </pic:blipFill>
                  <pic:spPr bwMode="auto">
                    <a:xfrm>
                      <a:off x="0" y="0"/>
                      <a:ext cx="3996055" cy="2339340"/>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Click Let’s Draw! to begin playing the game. You will be prompted to draw an object, and a deep learning algorithm will guess what you sketch. By the end of Chapter 10, we will have covered all of the theory and practical code examples needed to devise a machine vision algorithm similar to this one! To boot, the drawings you create will be added to the dataset that you’ll leverage in Chapter 12 when you create a deep learning model that can convincingly mimic human-drawn doodles.  So, come with us on this fantastic journey!</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Summary </w:t>
      </w:r>
      <w:bookmarkStart w:id="0" w:name="_GoBack"/>
      <w:bookmarkEnd w:id="0"/>
    </w:p>
    <w:p>
      <w:pPr>
        <w:pStyle w:val="Normal"/>
        <w:rPr>
          <w:rFonts w:ascii="Arial" w:hAnsi="Arial" w:cs="Arial"/>
          <w:color w:val="1A1A1B"/>
          <w:sz w:val="21"/>
          <w:szCs w:val="21"/>
          <w:highlight w:val="white"/>
        </w:rPr>
      </w:pPr>
      <w:r>
        <w:rPr>
          <w:rFonts w:cs="Arial" w:ascii="Arial" w:hAnsi="Arial"/>
          <w:color w:val="1A1A1B"/>
          <w:sz w:val="21"/>
          <w:szCs w:val="21"/>
          <w:shd w:fill="FFFFFF" w:val="clear"/>
        </w:rPr>
        <w:t>In this chapter, we explored the history of deep learning from its evolutionary origins through to the AlexNet watershed moment in 2012 that brought the technique to the forefront of scientific attention. Through all of this, the point to keep in mind is that it is the hierarchical architecture of deep learning models that enables them to encode increasingly complex representations. We explored this concept with an interactive demonstration of hierarchical representations in action by training an artificial neural network in the TensorFlow Playground. We then looked at a system that recognizes doodles “automagically” using deep learning!</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In the next chapter, we will expand on the ideas introduced in this chapter by moving from vision applications to language applications!</w:t>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4"/>
        <w:szCs w:val="24"/>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6a57"/>
    <w:pPr>
      <w:widowControl/>
      <w:bidi w:val="0"/>
      <w:jc w:val="left"/>
    </w:pPr>
    <w:rPr>
      <w:rFonts w:ascii="Times New Roman" w:hAnsi="Times New Roman" w:eastAsia="Times New Roman" w:cs="Times New Roman"/>
      <w:color w:val="auto"/>
      <w:kern w:val="0"/>
      <w:sz w:val="24"/>
      <w:szCs w:val="24"/>
      <w:lang w:val="en-US" w:eastAsia="ja-JP" w:bidi="ar-SA"/>
    </w:rPr>
  </w:style>
  <w:style w:type="paragraph" w:styleId="Heading2">
    <w:name w:val="Heading 2"/>
    <w:basedOn w:val="Normal"/>
    <w:link w:val="Heading2Char"/>
    <w:uiPriority w:val="9"/>
    <w:qFormat/>
    <w:rsid w:val="00dc0aef"/>
    <w:pPr>
      <w:spacing w:beforeAutospacing="1" w:afterAutospacing="1"/>
      <w:outlineLvl w:val="1"/>
    </w:pPr>
    <w:rPr>
      <w:b/>
      <w:bCs/>
      <w:sz w:val="36"/>
      <w:szCs w:val="36"/>
    </w:rPr>
  </w:style>
  <w:style w:type="character" w:styleId="DefaultParagraphFont" w:default="1">
    <w:name w:val="Default Paragraph Font"/>
    <w:uiPriority w:val="1"/>
    <w:semiHidden/>
    <w:unhideWhenUsed/>
    <w:qFormat/>
    <w:rPr/>
  </w:style>
  <w:style w:type="character" w:styleId="Visuallyhidden" w:customStyle="1">
    <w:name w:val="visuallyhidden"/>
    <w:basedOn w:val="DefaultParagraphFont"/>
    <w:qFormat/>
    <w:rsid w:val="00176dc2"/>
    <w:rPr/>
  </w:style>
  <w:style w:type="character" w:styleId="InternetLink">
    <w:name w:val="Internet Link"/>
    <w:basedOn w:val="DefaultParagraphFont"/>
    <w:uiPriority w:val="99"/>
    <w:semiHidden/>
    <w:unhideWhenUsed/>
    <w:rsid w:val="00176dc2"/>
    <w:rPr>
      <w:color w:val="0000FF"/>
      <w:u w:val="single"/>
    </w:rPr>
  </w:style>
  <w:style w:type="character" w:styleId="Strong">
    <w:name w:val="Strong"/>
    <w:basedOn w:val="DefaultParagraphFont"/>
    <w:uiPriority w:val="22"/>
    <w:qFormat/>
    <w:rsid w:val="00957408"/>
    <w:rPr>
      <w:b/>
      <w:bCs/>
    </w:rPr>
  </w:style>
  <w:style w:type="character" w:styleId="Emphasis">
    <w:name w:val="Emphasis"/>
    <w:basedOn w:val="DefaultParagraphFont"/>
    <w:uiPriority w:val="20"/>
    <w:qFormat/>
    <w:rsid w:val="00957408"/>
    <w:rPr>
      <w:i/>
      <w:iCs/>
    </w:rPr>
  </w:style>
  <w:style w:type="character" w:styleId="Heading2Char" w:customStyle="1">
    <w:name w:val="Heading 2 Char"/>
    <w:basedOn w:val="DefaultParagraphFont"/>
    <w:link w:val="Heading2"/>
    <w:uiPriority w:val="9"/>
    <w:qFormat/>
    <w:rsid w:val="00dc0aef"/>
    <w:rPr>
      <w:rFonts w:ascii="Times New Roman" w:hAnsi="Times New Roman" w:eastAsia="Times New Roman" w:cs="Times New Roman"/>
      <w:b/>
      <w:bCs/>
      <w:sz w:val="36"/>
      <w:szCs w:val="36"/>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16"/>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rFonts w:ascii="Calibri Light" w:hAnsi="Calibri Light" w:cs="Calibri Light" w:asciiTheme="majorHAnsi" w:cstheme="majorHAnsi" w:hAnsiTheme="majorHAnsi"/>
      <w:i/>
      <w:iCs/>
      <w:color w:val="1A1A1B"/>
      <w:sz w:val="21"/>
      <w:szCs w:val="21"/>
    </w:rPr>
  </w:style>
  <w:style w:type="character" w:styleId="ListLabel25">
    <w:name w:val="ListLabel 25"/>
    <w:qFormat/>
    <w:rPr>
      <w:rFonts w:ascii="Calibri Light" w:hAnsi="Calibri Light" w:cs="Calibri Light" w:asciiTheme="majorHAnsi" w:cstheme="majorHAnsi" w:hAnsiTheme="majorHAnsi"/>
      <w:i/>
      <w:iCs/>
      <w:color w:val="1A1A1B"/>
      <w:sz w:val="21"/>
      <w:szCs w:val="21"/>
      <w:shd w:fill="FFFFFF" w:val="clear"/>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722e2"/>
    <w:pPr>
      <w:spacing w:before="0" w:after="0"/>
      <w:ind w:left="720" w:hanging="0"/>
      <w:contextualSpacing/>
    </w:pPr>
    <w:rPr/>
  </w:style>
  <w:style w:type="paragraph" w:styleId="NormalWeb">
    <w:name w:val="Normal (Web)"/>
    <w:basedOn w:val="Normal"/>
    <w:uiPriority w:val="99"/>
    <w:unhideWhenUsed/>
    <w:qFormat/>
    <w:rsid w:val="00176dc2"/>
    <w:pPr>
      <w:spacing w:beforeAutospacing="1" w:afterAutospacing="1"/>
    </w:pPr>
    <w:rPr/>
  </w:style>
  <w:style w:type="paragraph" w:styleId="If" w:customStyle="1">
    <w:name w:val="if"/>
    <w:basedOn w:val="Normal"/>
    <w:qFormat/>
    <w:rsid w:val="00dc0aef"/>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tif"/><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wmf"/><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tif"/><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tif"/><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hyperlink" Target="https://techterms.com/definition/processor" TargetMode="External"/><Relationship Id="rId32" Type="http://schemas.openxmlformats.org/officeDocument/2006/relationships/hyperlink" Target="https://techterms.com/definition/graphics" TargetMode="External"/><Relationship Id="rId33" Type="http://schemas.openxmlformats.org/officeDocument/2006/relationships/hyperlink" Target="https://techterms.com/definition/pc" TargetMode="External"/><Relationship Id="rId34" Type="http://schemas.openxmlformats.org/officeDocument/2006/relationships/hyperlink" Target="https://techterms.com/definition/cpu" TargetMode="External"/><Relationship Id="rId35" Type="http://schemas.openxmlformats.org/officeDocument/2006/relationships/hyperlink" Target="https://techterms.com/definition/software" TargetMode="External"/><Relationship Id="rId36" Type="http://schemas.openxmlformats.org/officeDocument/2006/relationships/hyperlink" Target="https://techterms.com/definition/desktop_computer" TargetMode="External"/><Relationship Id="rId37" Type="http://schemas.openxmlformats.org/officeDocument/2006/relationships/image" Target="media/image30.jpeg"/><Relationship Id="rId38" Type="http://schemas.openxmlformats.org/officeDocument/2006/relationships/hyperlink" Target="https://techterms.com/definition/hardware" TargetMode="External"/><Relationship Id="rId39" Type="http://schemas.openxmlformats.org/officeDocument/2006/relationships/hyperlink" Target="https://techterms.com/definition/motherboard" TargetMode="External"/><Relationship Id="rId40" Type="http://schemas.openxmlformats.org/officeDocument/2006/relationships/hyperlink" Target="https://techterms.com/definition/pci" TargetMode="External"/><Relationship Id="rId41" Type="http://schemas.openxmlformats.org/officeDocument/2006/relationships/hyperlink" Target="https://techterms.com/definition/agp" TargetMode="External"/><Relationship Id="rId42" Type="http://schemas.openxmlformats.org/officeDocument/2006/relationships/hyperlink" Target="https://techterms.com/definition/videocard" TargetMode="External"/><Relationship Id="rId43" Type="http://schemas.openxmlformats.org/officeDocument/2006/relationships/hyperlink" Target="https://techterms.com/definition/api" TargetMode="External"/><Relationship Id="rId44" Type="http://schemas.openxmlformats.org/officeDocument/2006/relationships/hyperlink" Target="https://techterms.com/definition/opengl" TargetMode="External"/><Relationship Id="rId45" Type="http://schemas.openxmlformats.org/officeDocument/2006/relationships/hyperlink" Target="https://techterms.com/definition/direct3d" TargetMode="External"/><Relationship Id="rId46" Type="http://schemas.openxmlformats.org/officeDocument/2006/relationships/hyperlink" Target="https://techterms.com/definition/laptop" TargetMode="External"/><Relationship Id="rId47" Type="http://schemas.openxmlformats.org/officeDocument/2006/relationships/hyperlink" Target="https://techterms.com/definition/smartphone" TargetMode="External"/><Relationship Id="rId48" Type="http://schemas.openxmlformats.org/officeDocument/2006/relationships/image" Target="media/image31.tif"/><Relationship Id="rId49" Type="http://schemas.openxmlformats.org/officeDocument/2006/relationships/image" Target="media/image32.tif"/><Relationship Id="rId50" Type="http://schemas.openxmlformats.org/officeDocument/2006/relationships/image" Target="media/image33.tif"/><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Application>LibreOffice/6.0.7.3$Linux_X86_64 LibreOffice_project/00m0$Build-3</Application>
  <Pages>12</Pages>
  <Words>4433</Words>
  <Characters>23859</Characters>
  <CharactersWithSpaces>28298</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2020-03-29T15:44:00Z</dcterms:created>
  <dc:creator>keshava rangarajan</dc:creator>
  <dc:description/>
  <dc:language>en-US</dc:language>
  <cp:lastModifiedBy/>
  <dcterms:modified xsi:type="dcterms:W3CDTF">2020-10-05T11:21:19Z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