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D5C" w:rsidRDefault="00F01716" w:rsidP="00F01716">
      <w:pPr>
        <w:pStyle w:val="Title"/>
      </w:pPr>
      <w:r>
        <w:t>Guidelines for Shop and Bill application</w:t>
      </w:r>
    </w:p>
    <w:p w:rsidR="00F01716" w:rsidRPr="00AD5EC5" w:rsidRDefault="007C1C7A" w:rsidP="00F01716">
      <w:pPr>
        <w:spacing w:after="0" w:line="240" w:lineRule="auto"/>
        <w:jc w:val="both"/>
        <w:rPr>
          <w:rFonts w:ascii="Bookman Old Style" w:hAnsi="Bookman Old Style"/>
          <w:color w:val="17365D" w:themeColor="text2" w:themeShade="BF"/>
        </w:rPr>
      </w:pPr>
      <w:r w:rsidRPr="00AD5EC5">
        <w:rPr>
          <w:rFonts w:ascii="Bookman Old Style" w:hAnsi="Bookman Old Style"/>
          <w:color w:val="17365D" w:themeColor="text2" w:themeShade="BF"/>
        </w:rPr>
        <w:t>0.0 Introduction</w:t>
      </w:r>
    </w:p>
    <w:p w:rsidR="00F01716" w:rsidRPr="00AD5EC5" w:rsidRDefault="00F01716" w:rsidP="00F01716">
      <w:pPr>
        <w:spacing w:after="0" w:line="240" w:lineRule="auto"/>
        <w:jc w:val="both"/>
        <w:rPr>
          <w:rFonts w:ascii="Bookman Old Style" w:hAnsi="Bookman Old Style"/>
        </w:rPr>
      </w:pPr>
      <w:r w:rsidRPr="00AD5EC5">
        <w:rPr>
          <w:rFonts w:ascii="Bookman Old Style" w:hAnsi="Bookman Old Style"/>
        </w:rPr>
        <w:tab/>
      </w:r>
      <w:r w:rsidRPr="00AD5EC5">
        <w:rPr>
          <w:rFonts w:ascii="Bookman Old Style" w:hAnsi="Bookman Old Style"/>
        </w:rPr>
        <w:t>This document provides the general guidelines to be followed during a project. The guidelines are broadly divided into Application, Data, Logic, UI (user interface) and Coding guidelines.</w:t>
      </w:r>
    </w:p>
    <w:p w:rsidR="007C1C7A" w:rsidRPr="00AD5EC5" w:rsidRDefault="007C1C7A" w:rsidP="00F01716">
      <w:pPr>
        <w:spacing w:after="0" w:line="240" w:lineRule="auto"/>
        <w:jc w:val="both"/>
        <w:rPr>
          <w:rFonts w:ascii="Bookman Old Style" w:hAnsi="Bookman Old Style"/>
        </w:rPr>
      </w:pPr>
    </w:p>
    <w:p w:rsidR="007C1C7A" w:rsidRPr="00AD5EC5" w:rsidRDefault="007C1C7A" w:rsidP="007C1C7A">
      <w:pPr>
        <w:pStyle w:val="ListParagraph"/>
        <w:numPr>
          <w:ilvl w:val="1"/>
          <w:numId w:val="1"/>
        </w:numPr>
        <w:spacing w:after="0" w:line="240" w:lineRule="auto"/>
        <w:jc w:val="both"/>
        <w:rPr>
          <w:rFonts w:ascii="Bookman Old Style" w:hAnsi="Bookman Old Style"/>
          <w:color w:val="17365D" w:themeColor="text2" w:themeShade="BF"/>
        </w:rPr>
      </w:pPr>
      <w:r w:rsidRPr="00AD5EC5">
        <w:rPr>
          <w:rFonts w:ascii="Bookman Old Style" w:hAnsi="Bookman Old Style"/>
          <w:color w:val="17365D" w:themeColor="text2" w:themeShade="BF"/>
        </w:rPr>
        <w:t>Document History</w:t>
      </w:r>
    </w:p>
    <w:p w:rsidR="007C1C7A" w:rsidRPr="00AD5EC5" w:rsidRDefault="007C1C7A" w:rsidP="007C1C7A">
      <w:pPr>
        <w:pStyle w:val="ListParagraph"/>
        <w:spacing w:after="0" w:line="240" w:lineRule="auto"/>
        <w:ind w:left="360" w:firstLine="360"/>
        <w:jc w:val="both"/>
        <w:rPr>
          <w:rFonts w:ascii="Bookman Old Style" w:hAnsi="Bookman Old Style"/>
        </w:rPr>
      </w:pPr>
      <w:r w:rsidRPr="00AD5EC5">
        <w:rPr>
          <w:rFonts w:ascii="Bookman Old Style" w:hAnsi="Bookman Old Style"/>
        </w:rPr>
        <w:t xml:space="preserve">This section captures the changes made to this document, in particular, when the changes were made (“Date” in DD-MM-YYYY format), who made the changes (“Editor”) and the specific changes made by the Editor (“Changes </w:t>
      </w:r>
      <w:proofErr w:type="gramStart"/>
      <w:r w:rsidRPr="00AD5EC5">
        <w:rPr>
          <w:rFonts w:ascii="Bookman Old Style" w:hAnsi="Bookman Old Style"/>
        </w:rPr>
        <w:t>Done</w:t>
      </w:r>
      <w:proofErr w:type="gramEnd"/>
      <w:r w:rsidRPr="00AD5EC5">
        <w:rPr>
          <w:rFonts w:ascii="Bookman Old Style" w:hAnsi="Bookman Old Style"/>
        </w:rPr>
        <w:t>”).</w:t>
      </w:r>
    </w:p>
    <w:p w:rsidR="007C1C7A" w:rsidRPr="00AD5EC5" w:rsidRDefault="007C1C7A" w:rsidP="007C1C7A">
      <w:pPr>
        <w:spacing w:after="0" w:line="240" w:lineRule="auto"/>
        <w:ind w:left="720"/>
        <w:jc w:val="both"/>
        <w:rPr>
          <w:rFonts w:ascii="Bookman Old Style" w:hAnsi="Bookman Old Style"/>
        </w:rPr>
      </w:pPr>
    </w:p>
    <w:p w:rsidR="007C1C7A" w:rsidRPr="00AD5EC5" w:rsidRDefault="007C1C7A" w:rsidP="007C1C7A">
      <w:pPr>
        <w:pStyle w:val="ListParagraph"/>
        <w:numPr>
          <w:ilvl w:val="0"/>
          <w:numId w:val="2"/>
        </w:numPr>
        <w:spacing w:after="0" w:line="240" w:lineRule="auto"/>
        <w:jc w:val="both"/>
        <w:rPr>
          <w:rFonts w:ascii="Bookman Old Style" w:hAnsi="Bookman Old Style"/>
        </w:rPr>
      </w:pPr>
      <w:r w:rsidRPr="00AD5EC5">
        <w:rPr>
          <w:rFonts w:ascii="Bookman Old Style" w:hAnsi="Bookman Old Style"/>
        </w:rPr>
        <w:t xml:space="preserve">Editor : </w:t>
      </w:r>
      <w:proofErr w:type="spellStart"/>
      <w:r w:rsidRPr="00AD5EC5">
        <w:rPr>
          <w:rFonts w:ascii="Bookman Old Style" w:hAnsi="Bookman Old Style"/>
        </w:rPr>
        <w:t>Vivek</w:t>
      </w:r>
      <w:proofErr w:type="spellEnd"/>
    </w:p>
    <w:p w:rsidR="00F67A88" w:rsidRDefault="007C1C7A" w:rsidP="00F67A88">
      <w:pPr>
        <w:spacing w:after="0" w:line="240" w:lineRule="auto"/>
        <w:ind w:left="720" w:firstLine="720"/>
        <w:jc w:val="both"/>
        <w:rPr>
          <w:rFonts w:ascii="Bookman Old Style" w:hAnsi="Bookman Old Style"/>
        </w:rPr>
      </w:pPr>
      <w:proofErr w:type="gramStart"/>
      <w:r w:rsidRPr="00AD5EC5">
        <w:rPr>
          <w:rFonts w:ascii="Bookman Old Style" w:hAnsi="Bookman Old Style"/>
        </w:rPr>
        <w:t>Date :</w:t>
      </w:r>
      <w:proofErr w:type="gramEnd"/>
      <w:r w:rsidRPr="00AD5EC5">
        <w:rPr>
          <w:rFonts w:ascii="Bookman Old Style" w:hAnsi="Bookman Old Style"/>
        </w:rPr>
        <w:t xml:space="preserve"> 23-07-2014</w:t>
      </w:r>
    </w:p>
    <w:p w:rsidR="00F67A88" w:rsidRPr="00AD5EC5" w:rsidRDefault="00F67A88" w:rsidP="00F67A88">
      <w:pPr>
        <w:pBdr>
          <w:bottom w:val="single" w:sz="6" w:space="1" w:color="auto"/>
        </w:pBdr>
        <w:spacing w:after="0" w:line="240" w:lineRule="auto"/>
        <w:ind w:left="720" w:firstLine="720"/>
        <w:jc w:val="both"/>
        <w:rPr>
          <w:rFonts w:ascii="Bookman Old Style" w:hAnsi="Bookman Old Style"/>
        </w:rPr>
      </w:pPr>
    </w:p>
    <w:p w:rsidR="00F67A88" w:rsidRPr="00AD5EC5" w:rsidRDefault="00F67A88" w:rsidP="007C1C7A">
      <w:pPr>
        <w:spacing w:after="0" w:line="240" w:lineRule="auto"/>
        <w:ind w:left="720" w:firstLine="720"/>
        <w:jc w:val="both"/>
        <w:rPr>
          <w:rFonts w:ascii="Bookman Old Style" w:hAnsi="Bookman Old Style"/>
        </w:rPr>
      </w:pPr>
    </w:p>
    <w:p w:rsidR="00A03401" w:rsidRPr="00AD5EC5" w:rsidRDefault="00D0511C" w:rsidP="00A03401">
      <w:pPr>
        <w:spacing w:after="0" w:line="240" w:lineRule="auto"/>
        <w:jc w:val="both"/>
        <w:rPr>
          <w:rFonts w:ascii="Bookman Old Style" w:hAnsi="Bookman Old Style"/>
          <w:color w:val="17365D" w:themeColor="text2" w:themeShade="BF"/>
        </w:rPr>
      </w:pPr>
      <w:r>
        <w:rPr>
          <w:rFonts w:ascii="Bookman Old Style" w:hAnsi="Bookman Old Style"/>
          <w:color w:val="17365D" w:themeColor="text2" w:themeShade="BF"/>
        </w:rPr>
        <w:t>1.0</w:t>
      </w:r>
      <w:r w:rsidR="00A03401" w:rsidRPr="00AD5EC5">
        <w:rPr>
          <w:rFonts w:ascii="Bookman Old Style" w:hAnsi="Bookman Old Style"/>
          <w:color w:val="17365D" w:themeColor="text2" w:themeShade="BF"/>
        </w:rPr>
        <w:t xml:space="preserve"> Application Guidelines</w:t>
      </w:r>
    </w:p>
    <w:p w:rsidR="00AD5EC5" w:rsidRDefault="00AD5EC5" w:rsidP="00983D15">
      <w:pPr>
        <w:pStyle w:val="ListParagraph"/>
        <w:spacing w:after="0" w:line="240" w:lineRule="auto"/>
        <w:ind w:left="360" w:firstLine="360"/>
        <w:jc w:val="both"/>
        <w:rPr>
          <w:rFonts w:ascii="Bookman Old Style" w:hAnsi="Bookman Old Style"/>
        </w:rPr>
      </w:pPr>
      <w:r w:rsidRPr="00983D15">
        <w:rPr>
          <w:rFonts w:ascii="Bookman Old Style" w:hAnsi="Bookman Old Style"/>
        </w:rPr>
        <w:t>The following are the general guidelines to be followed for the development of the application.</w:t>
      </w:r>
    </w:p>
    <w:p w:rsidR="00983D15" w:rsidRPr="00983D15" w:rsidRDefault="00983D15" w:rsidP="00983D15">
      <w:pPr>
        <w:pStyle w:val="ListParagraph"/>
        <w:spacing w:after="0" w:line="240" w:lineRule="auto"/>
        <w:ind w:left="360" w:firstLine="360"/>
        <w:jc w:val="both"/>
        <w:rPr>
          <w:rFonts w:ascii="Bookman Old Style" w:hAnsi="Bookman Old Style"/>
        </w:rPr>
      </w:pPr>
    </w:p>
    <w:p w:rsidR="00AD5EC5" w:rsidRPr="00983D15" w:rsidRDefault="00AD5EC5" w:rsidP="00983D15">
      <w:pPr>
        <w:pStyle w:val="ListParagraph"/>
        <w:spacing w:after="0" w:line="240" w:lineRule="auto"/>
        <w:ind w:left="360" w:firstLine="360"/>
        <w:jc w:val="both"/>
        <w:rPr>
          <w:rFonts w:ascii="Bookman Old Style" w:hAnsi="Bookman Old Style"/>
        </w:rPr>
      </w:pPr>
      <w:r w:rsidRPr="00983D15">
        <w:rPr>
          <w:rFonts w:ascii="Bookman Old Style" w:hAnsi="Bookman Old Style"/>
        </w:rPr>
        <w:t xml:space="preserve">NOTE: </w:t>
      </w:r>
    </w:p>
    <w:p w:rsidR="00AD5EC5" w:rsidRPr="00983D15" w:rsidRDefault="00AD5EC5" w:rsidP="00983D15">
      <w:pPr>
        <w:pStyle w:val="ListParagraph"/>
        <w:numPr>
          <w:ilvl w:val="0"/>
          <w:numId w:val="2"/>
        </w:numPr>
        <w:spacing w:after="0" w:line="240" w:lineRule="auto"/>
        <w:jc w:val="both"/>
        <w:rPr>
          <w:rFonts w:ascii="Bookman Old Style" w:hAnsi="Bookman Old Style"/>
        </w:rPr>
      </w:pPr>
      <w:r w:rsidRPr="00983D15">
        <w:rPr>
          <w:rFonts w:ascii="Bookman Old Style" w:hAnsi="Bookman Old Style"/>
        </w:rPr>
        <w:t xml:space="preserve">All text in quotes “” are to be literally used (without the quotes), </w:t>
      </w:r>
    </w:p>
    <w:p w:rsidR="00AD5EC5" w:rsidRPr="00983D15" w:rsidRDefault="00AD5EC5" w:rsidP="00983D15">
      <w:pPr>
        <w:pStyle w:val="ListParagraph"/>
        <w:numPr>
          <w:ilvl w:val="0"/>
          <w:numId w:val="2"/>
        </w:numPr>
        <w:spacing w:after="0" w:line="240" w:lineRule="auto"/>
        <w:jc w:val="both"/>
        <w:rPr>
          <w:rFonts w:ascii="Bookman Old Style" w:hAnsi="Bookman Old Style"/>
        </w:rPr>
      </w:pPr>
      <w:r w:rsidRPr="00983D15">
        <w:rPr>
          <w:rFonts w:ascii="Bookman Old Style" w:hAnsi="Bookman Old Style"/>
        </w:rPr>
        <w:t>T</w:t>
      </w:r>
      <w:r w:rsidRPr="00983D15">
        <w:rPr>
          <w:rFonts w:ascii="Bookman Old Style" w:hAnsi="Bookman Old Style"/>
        </w:rPr>
        <w:t xml:space="preserve">he ‘+’ symbol indicating concatenation. </w:t>
      </w:r>
    </w:p>
    <w:p w:rsidR="00AD5EC5" w:rsidRPr="00983D15" w:rsidRDefault="00AD5EC5" w:rsidP="00983D15">
      <w:pPr>
        <w:pStyle w:val="ListParagraph"/>
        <w:numPr>
          <w:ilvl w:val="0"/>
          <w:numId w:val="2"/>
        </w:numPr>
        <w:spacing w:after="0" w:line="240" w:lineRule="auto"/>
        <w:jc w:val="both"/>
        <w:rPr>
          <w:rFonts w:ascii="Bookman Old Style" w:hAnsi="Bookman Old Style"/>
        </w:rPr>
      </w:pPr>
      <w:r w:rsidRPr="00983D15">
        <w:rPr>
          <w:rFonts w:ascii="Bookman Old Style" w:hAnsi="Bookman Old Style"/>
        </w:rPr>
        <w:t xml:space="preserve">Text between angle brackets &lt;&gt; are merely placeholders that are to be replaced (along with the brackets) by the appropriate names. </w:t>
      </w:r>
    </w:p>
    <w:p w:rsidR="00AD5EC5" w:rsidRDefault="00AD5EC5" w:rsidP="00983D15">
      <w:pPr>
        <w:pStyle w:val="ListParagraph"/>
        <w:numPr>
          <w:ilvl w:val="0"/>
          <w:numId w:val="2"/>
        </w:numPr>
        <w:spacing w:after="0" w:line="240" w:lineRule="auto"/>
        <w:jc w:val="both"/>
        <w:rPr>
          <w:rFonts w:ascii="Bookman Old Style" w:hAnsi="Bookman Old Style"/>
        </w:rPr>
      </w:pPr>
      <w:r w:rsidRPr="00983D15">
        <w:rPr>
          <w:rFonts w:ascii="Bookman Old Style" w:hAnsi="Bookman Old Style"/>
        </w:rPr>
        <w:t>Numbers such as 1, 1.1, etc. within the &lt;&gt; are merely indicative of a series, and are to be removed along with the brackets.</w:t>
      </w:r>
    </w:p>
    <w:p w:rsidR="00983D15" w:rsidRPr="00983D15" w:rsidRDefault="00983D15" w:rsidP="00983D15">
      <w:pPr>
        <w:pStyle w:val="ListParagraph"/>
        <w:spacing w:after="0" w:line="240" w:lineRule="auto"/>
        <w:ind w:left="1440"/>
        <w:jc w:val="both"/>
        <w:rPr>
          <w:rFonts w:ascii="Bookman Old Style" w:hAnsi="Bookman Old Style"/>
        </w:rPr>
      </w:pPr>
    </w:p>
    <w:p w:rsidR="00983D15" w:rsidRPr="00983D15" w:rsidRDefault="00983D15" w:rsidP="00983D15">
      <w:pPr>
        <w:spacing w:after="0" w:line="240" w:lineRule="auto"/>
        <w:jc w:val="both"/>
        <w:rPr>
          <w:rFonts w:ascii="Bookman Old Style" w:hAnsi="Bookman Old Style"/>
          <w:color w:val="17365D" w:themeColor="text2" w:themeShade="BF"/>
        </w:rPr>
      </w:pPr>
      <w:r w:rsidRPr="00983D15">
        <w:rPr>
          <w:rFonts w:ascii="Bookman Old Style" w:hAnsi="Bookman Old Style"/>
          <w:color w:val="17365D" w:themeColor="text2" w:themeShade="BF"/>
        </w:rPr>
        <w:t>1.1 Files and Folders Naming Convention</w:t>
      </w:r>
    </w:p>
    <w:p w:rsidR="00983D15" w:rsidRPr="00D0511C" w:rsidRDefault="00983D15" w:rsidP="00D0511C">
      <w:pPr>
        <w:pStyle w:val="ListParagraph"/>
        <w:numPr>
          <w:ilvl w:val="0"/>
          <w:numId w:val="5"/>
        </w:numPr>
        <w:spacing w:after="0" w:line="240" w:lineRule="auto"/>
        <w:jc w:val="both"/>
        <w:rPr>
          <w:rFonts w:ascii="Bookman Old Style" w:hAnsi="Bookman Old Style"/>
        </w:rPr>
      </w:pPr>
      <w:r w:rsidRPr="00D0511C">
        <w:rPr>
          <w:rFonts w:ascii="Bookman Old Style" w:hAnsi="Bookman Old Style"/>
        </w:rPr>
        <w:t>All files and folders are in lower case and must have no spaces in their names (use underscore if required). EXCEPTION is allowed for the files and folders under the third party “lib” folder.</w:t>
      </w:r>
    </w:p>
    <w:p w:rsidR="00983D15" w:rsidRDefault="00983D15" w:rsidP="00D0511C">
      <w:pPr>
        <w:pStyle w:val="ListParagraph"/>
        <w:numPr>
          <w:ilvl w:val="0"/>
          <w:numId w:val="5"/>
        </w:numPr>
        <w:spacing w:after="0" w:line="240" w:lineRule="auto"/>
        <w:jc w:val="both"/>
      </w:pPr>
      <w:r w:rsidRPr="00D0511C">
        <w:rPr>
          <w:rFonts w:ascii="Bookman Old Style" w:hAnsi="Bookman Old Style"/>
        </w:rPr>
        <w:t>Avoid non</w:t>
      </w:r>
      <w:r>
        <w:t>-</w:t>
      </w:r>
      <w:r w:rsidRPr="00D0511C">
        <w:rPr>
          <w:rFonts w:ascii="Bookman Old Style" w:hAnsi="Bookman Old Style"/>
        </w:rPr>
        <w:t>alphanumeric characters in the names of the files and folders.</w:t>
      </w:r>
      <w:r>
        <w:t xml:space="preserve">  </w:t>
      </w:r>
    </w:p>
    <w:p w:rsidR="00F67A88" w:rsidRPr="007E1A8D" w:rsidRDefault="00F67A88" w:rsidP="00D0511C">
      <w:pPr>
        <w:pStyle w:val="ListParagraph"/>
        <w:numPr>
          <w:ilvl w:val="0"/>
          <w:numId w:val="5"/>
        </w:numPr>
        <w:spacing w:after="0" w:line="240" w:lineRule="auto"/>
        <w:jc w:val="both"/>
      </w:pPr>
      <w:r w:rsidRPr="00F67A88">
        <w:rPr>
          <w:rFonts w:ascii="Bookman Old Style" w:hAnsi="Bookman Old Style"/>
        </w:rPr>
        <w:t>Try to use Single word name for every files or folders</w:t>
      </w:r>
      <w:r>
        <w:rPr>
          <w:rFonts w:ascii="Bookman Old Style" w:hAnsi="Bookman Old Style"/>
        </w:rPr>
        <w:t>.</w:t>
      </w:r>
    </w:p>
    <w:p w:rsidR="007E1A8D" w:rsidRDefault="007E1A8D" w:rsidP="00D0511C">
      <w:pPr>
        <w:pStyle w:val="ListParagraph"/>
        <w:numPr>
          <w:ilvl w:val="0"/>
          <w:numId w:val="5"/>
        </w:numPr>
        <w:spacing w:after="0" w:line="240" w:lineRule="auto"/>
        <w:jc w:val="both"/>
      </w:pPr>
      <w:r>
        <w:rPr>
          <w:rFonts w:ascii="Bookman Old Style" w:hAnsi="Bookman Old Style"/>
        </w:rPr>
        <w:t>JS file name are same as the view file name.</w:t>
      </w:r>
    </w:p>
    <w:p w:rsidR="00F01716" w:rsidRDefault="00F01716" w:rsidP="00F01716">
      <w:pPr>
        <w:rPr>
          <w:rFonts w:ascii="Bookman Old Style" w:hAnsi="Bookman Old Style"/>
        </w:rPr>
      </w:pPr>
    </w:p>
    <w:p w:rsidR="00D0511C" w:rsidRPr="00D0511C" w:rsidRDefault="00D0511C" w:rsidP="00D0511C">
      <w:pPr>
        <w:spacing w:after="0" w:line="240" w:lineRule="auto"/>
        <w:jc w:val="both"/>
        <w:rPr>
          <w:rFonts w:ascii="Bookman Old Style" w:hAnsi="Bookman Old Style"/>
          <w:color w:val="17365D" w:themeColor="text2" w:themeShade="BF"/>
        </w:rPr>
      </w:pPr>
      <w:r w:rsidRPr="00D0511C">
        <w:rPr>
          <w:rFonts w:ascii="Bookman Old Style" w:hAnsi="Bookman Old Style"/>
          <w:color w:val="17365D" w:themeColor="text2" w:themeShade="BF"/>
        </w:rPr>
        <w:t>1.2Application Folder Structure</w:t>
      </w:r>
    </w:p>
    <w:p w:rsidR="00D0511C" w:rsidRDefault="00D0511C" w:rsidP="00D0511C">
      <w:pPr>
        <w:spacing w:after="0" w:line="240" w:lineRule="auto"/>
        <w:jc w:val="both"/>
      </w:pPr>
      <w:r>
        <w:tab/>
      </w:r>
      <w:r w:rsidRPr="00D0511C">
        <w:rPr>
          <w:rFonts w:ascii="Bookman Old Style" w:hAnsi="Bookman Old Style"/>
        </w:rPr>
        <w:t>The following folder structure is to be followed for the application</w:t>
      </w:r>
      <w:r>
        <w:t xml:space="preserve">. </w:t>
      </w:r>
    </w:p>
    <w:p w:rsidR="00F67A88" w:rsidRDefault="00F67A88" w:rsidP="00D0511C">
      <w:pPr>
        <w:spacing w:after="0" w:line="240" w:lineRule="auto"/>
        <w:jc w:val="both"/>
      </w:pPr>
    </w:p>
    <w:p w:rsidR="00D0511C" w:rsidRDefault="00F67A88" w:rsidP="00F67A88">
      <w:pPr>
        <w:pBdr>
          <w:bottom w:val="single" w:sz="6" w:space="1" w:color="auto"/>
        </w:pBdr>
        <w:ind w:left="720" w:firstLine="720"/>
        <w:rPr>
          <w:rFonts w:ascii="Bookman Old Style" w:hAnsi="Bookman Old Style"/>
        </w:rPr>
      </w:pPr>
      <w:r>
        <w:rPr>
          <w:rFonts w:ascii="Bookman Old Style" w:hAnsi="Bookman Old Style"/>
          <w:noProof/>
        </w:rPr>
        <w:lastRenderedPageBreak/>
        <w:drawing>
          <wp:inline distT="0" distB="0" distL="0" distR="0">
            <wp:extent cx="3252159" cy="170768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_bill_folder.png"/>
                    <pic:cNvPicPr/>
                  </pic:nvPicPr>
                  <pic:blipFill rotWithShape="1">
                    <a:blip r:embed="rId6" cstate="print">
                      <a:extLst>
                        <a:ext uri="{28A0092B-C50C-407E-A947-70E740481C1C}">
                          <a14:useLocalDpi xmlns:a14="http://schemas.microsoft.com/office/drawing/2010/main" val="0"/>
                        </a:ext>
                      </a:extLst>
                    </a:blip>
                    <a:srcRect r="31896" b="13607"/>
                    <a:stretch/>
                  </pic:blipFill>
                  <pic:spPr bwMode="auto">
                    <a:xfrm>
                      <a:off x="0" y="0"/>
                      <a:ext cx="3267744" cy="1715864"/>
                    </a:xfrm>
                    <a:prstGeom prst="rect">
                      <a:avLst/>
                    </a:prstGeom>
                    <a:ln>
                      <a:noFill/>
                    </a:ln>
                    <a:extLst>
                      <a:ext uri="{53640926-AAD7-44D8-BBD7-CCE9431645EC}">
                        <a14:shadowObscured xmlns:a14="http://schemas.microsoft.com/office/drawing/2010/main"/>
                      </a:ext>
                    </a:extLst>
                  </pic:spPr>
                </pic:pic>
              </a:graphicData>
            </a:graphic>
          </wp:inline>
        </w:drawing>
      </w:r>
    </w:p>
    <w:p w:rsidR="00725580" w:rsidRDefault="00725580" w:rsidP="00F67A88">
      <w:pPr>
        <w:ind w:left="720" w:firstLine="720"/>
        <w:rPr>
          <w:rFonts w:ascii="Bookman Old Style" w:hAnsi="Bookman Old Style"/>
        </w:rPr>
      </w:pPr>
      <w:bookmarkStart w:id="0" w:name="_GoBack"/>
      <w:bookmarkEnd w:id="0"/>
    </w:p>
    <w:p w:rsidR="00DD6CF4" w:rsidRPr="00DD6CF4" w:rsidRDefault="00DD6CF4" w:rsidP="00DD6CF4">
      <w:pPr>
        <w:spacing w:after="0" w:line="240" w:lineRule="auto"/>
        <w:jc w:val="both"/>
        <w:rPr>
          <w:rFonts w:ascii="Bookman Old Style" w:hAnsi="Bookman Old Style"/>
          <w:color w:val="17365D" w:themeColor="text2" w:themeShade="BF"/>
        </w:rPr>
      </w:pPr>
      <w:r w:rsidRPr="00DD6CF4">
        <w:rPr>
          <w:rFonts w:ascii="Bookman Old Style" w:hAnsi="Bookman Old Style"/>
          <w:color w:val="17365D" w:themeColor="text2" w:themeShade="BF"/>
        </w:rPr>
        <w:t>2.0 DATA GUIDELINES</w:t>
      </w:r>
    </w:p>
    <w:p w:rsidR="00DD6CF4" w:rsidRPr="00DD6CF4" w:rsidRDefault="00DD6CF4" w:rsidP="00DD6CF4">
      <w:pPr>
        <w:spacing w:after="0" w:line="240" w:lineRule="auto"/>
        <w:jc w:val="both"/>
        <w:rPr>
          <w:rFonts w:ascii="Bookman Old Style" w:hAnsi="Bookman Old Style"/>
        </w:rPr>
      </w:pPr>
      <w:r>
        <w:tab/>
      </w:r>
      <w:r w:rsidRPr="00DD6CF4">
        <w:rPr>
          <w:rFonts w:ascii="Bookman Old Style" w:hAnsi="Bookman Old Style"/>
        </w:rPr>
        <w:t>The following are the general guidelines to be followed for specifying the data of the application.</w:t>
      </w:r>
    </w:p>
    <w:p w:rsidR="00DD6CF4" w:rsidRDefault="00DD6CF4" w:rsidP="00DD6CF4">
      <w:pPr>
        <w:spacing w:after="0" w:line="240" w:lineRule="auto"/>
        <w:jc w:val="both"/>
      </w:pPr>
    </w:p>
    <w:p w:rsidR="00DD6CF4" w:rsidRPr="00DD6CF4" w:rsidRDefault="00DD6CF4" w:rsidP="00DD6CF4">
      <w:pPr>
        <w:spacing w:after="0" w:line="240" w:lineRule="auto"/>
        <w:jc w:val="both"/>
        <w:rPr>
          <w:rFonts w:ascii="Bookman Old Style" w:hAnsi="Bookman Old Style"/>
          <w:color w:val="17365D" w:themeColor="text2" w:themeShade="BF"/>
        </w:rPr>
      </w:pPr>
      <w:r w:rsidRPr="00DD6CF4">
        <w:rPr>
          <w:rFonts w:ascii="Bookman Old Style" w:hAnsi="Bookman Old Style"/>
          <w:color w:val="17365D" w:themeColor="text2" w:themeShade="BF"/>
        </w:rPr>
        <w:t>2.1 Database Naming Convention</w:t>
      </w:r>
    </w:p>
    <w:p w:rsidR="00DD6CF4" w:rsidRDefault="00DD6CF4" w:rsidP="00DD6CF4">
      <w:pPr>
        <w:pStyle w:val="ListParagraph"/>
        <w:numPr>
          <w:ilvl w:val="0"/>
          <w:numId w:val="7"/>
        </w:numPr>
        <w:spacing w:after="0" w:line="240" w:lineRule="auto"/>
        <w:jc w:val="both"/>
        <w:rPr>
          <w:rFonts w:ascii="Bookman Old Style" w:hAnsi="Bookman Old Style"/>
        </w:rPr>
      </w:pPr>
      <w:r w:rsidRPr="00DD6CF4">
        <w:rPr>
          <w:rFonts w:ascii="Bookman Old Style" w:hAnsi="Bookman Old Style"/>
        </w:rPr>
        <w:t xml:space="preserve">All </w:t>
      </w:r>
      <w:r w:rsidR="00CF6468">
        <w:rPr>
          <w:rFonts w:ascii="Bookman Old Style" w:hAnsi="Bookman Old Style"/>
        </w:rPr>
        <w:t xml:space="preserve">table name and </w:t>
      </w:r>
      <w:r w:rsidRPr="00DD6CF4">
        <w:rPr>
          <w:rFonts w:ascii="Bookman Old Style" w:hAnsi="Bookman Old Style"/>
        </w:rPr>
        <w:t xml:space="preserve">columns are also in lower case, </w:t>
      </w:r>
    </w:p>
    <w:p w:rsidR="00DD6CF4" w:rsidRDefault="00DD6CF4" w:rsidP="00DD6CF4">
      <w:pPr>
        <w:pStyle w:val="ListParagraph"/>
        <w:numPr>
          <w:ilvl w:val="0"/>
          <w:numId w:val="7"/>
        </w:numPr>
        <w:spacing w:after="0" w:line="240" w:lineRule="auto"/>
        <w:jc w:val="both"/>
        <w:rPr>
          <w:rFonts w:ascii="Bookman Old Style" w:hAnsi="Bookman Old Style"/>
        </w:rPr>
      </w:pPr>
      <w:r>
        <w:rPr>
          <w:rFonts w:ascii="Bookman Old Style" w:hAnsi="Bookman Old Style"/>
        </w:rPr>
        <w:t>Primary and F</w:t>
      </w:r>
      <w:r w:rsidRPr="00DD6CF4">
        <w:rPr>
          <w:rFonts w:ascii="Bookman Old Style" w:hAnsi="Bookman Old Style"/>
        </w:rPr>
        <w:t xml:space="preserve">oreign </w:t>
      </w:r>
      <w:r>
        <w:rPr>
          <w:rFonts w:ascii="Bookman Old Style" w:hAnsi="Bookman Old Style"/>
        </w:rPr>
        <w:t>key columns should end in “id”.</w:t>
      </w:r>
    </w:p>
    <w:p w:rsidR="00DD6CF4" w:rsidRDefault="00DD6CF4" w:rsidP="00DD6CF4">
      <w:pPr>
        <w:pStyle w:val="ListParagraph"/>
        <w:numPr>
          <w:ilvl w:val="0"/>
          <w:numId w:val="7"/>
        </w:numPr>
        <w:spacing w:after="0" w:line="240" w:lineRule="auto"/>
        <w:jc w:val="both"/>
        <w:rPr>
          <w:rFonts w:ascii="Bookman Old Style" w:hAnsi="Bookman Old Style"/>
        </w:rPr>
      </w:pPr>
      <w:r w:rsidRPr="00DD6CF4">
        <w:rPr>
          <w:rFonts w:ascii="Bookman Old Style" w:hAnsi="Bookman Old Style"/>
        </w:rPr>
        <w:t>C</w:t>
      </w:r>
      <w:r w:rsidRPr="00DD6CF4">
        <w:rPr>
          <w:rFonts w:ascii="Bookman Old Style" w:hAnsi="Bookman Old Style"/>
        </w:rPr>
        <w:t xml:space="preserve">olumns of type </w:t>
      </w:r>
      <w:proofErr w:type="spellStart"/>
      <w:r w:rsidRPr="00DD6CF4">
        <w:rPr>
          <w:rFonts w:ascii="Bookman Old Style" w:hAnsi="Bookman Old Style"/>
        </w:rPr>
        <w:t>datetime</w:t>
      </w:r>
      <w:proofErr w:type="spellEnd"/>
      <w:r w:rsidRPr="00DD6CF4">
        <w:rPr>
          <w:rFonts w:ascii="Bookman Old Style" w:hAnsi="Bookman Old Style"/>
        </w:rPr>
        <w:t xml:space="preserve"> should end in “</w:t>
      </w:r>
      <w:proofErr w:type="spellStart"/>
      <w:r>
        <w:rPr>
          <w:rFonts w:ascii="Bookman Old Style" w:hAnsi="Bookman Old Style"/>
        </w:rPr>
        <w:t>dt</w:t>
      </w:r>
      <w:proofErr w:type="spellEnd"/>
      <w:r w:rsidRPr="00DD6CF4">
        <w:rPr>
          <w:rFonts w:ascii="Bookman Old Style" w:hAnsi="Bookman Old Style"/>
        </w:rPr>
        <w:t>”</w:t>
      </w:r>
      <w:r w:rsidRPr="00DD6CF4">
        <w:rPr>
          <w:rFonts w:ascii="Bookman Old Style" w:hAnsi="Bookman Old Style"/>
        </w:rPr>
        <w:t>.</w:t>
      </w:r>
    </w:p>
    <w:p w:rsidR="00DD6CF4" w:rsidRDefault="00DD6CF4" w:rsidP="00DD6CF4">
      <w:pPr>
        <w:pStyle w:val="ListParagraph"/>
        <w:numPr>
          <w:ilvl w:val="0"/>
          <w:numId w:val="7"/>
        </w:numPr>
        <w:spacing w:after="0" w:line="240" w:lineRule="auto"/>
        <w:jc w:val="both"/>
        <w:rPr>
          <w:rFonts w:ascii="Bookman Old Style" w:hAnsi="Bookman Old Style"/>
        </w:rPr>
      </w:pPr>
      <w:r>
        <w:rPr>
          <w:rFonts w:ascii="Bookman Old Style" w:hAnsi="Bookman Old Style"/>
        </w:rPr>
        <w:t>C</w:t>
      </w:r>
      <w:r w:rsidRPr="00DD6CF4">
        <w:rPr>
          <w:rFonts w:ascii="Bookman Old Style" w:hAnsi="Bookman Old Style"/>
        </w:rPr>
        <w:t>olumns of type flag should end in “flag”</w:t>
      </w:r>
      <w:r>
        <w:rPr>
          <w:rFonts w:ascii="Bookman Old Style" w:hAnsi="Bookman Old Style"/>
        </w:rPr>
        <w:t>.</w:t>
      </w:r>
    </w:p>
    <w:p w:rsidR="00DD6CF4" w:rsidRPr="00DD6CF4" w:rsidRDefault="00DD6CF4" w:rsidP="00DD6CF4">
      <w:pPr>
        <w:pStyle w:val="ListParagraph"/>
        <w:numPr>
          <w:ilvl w:val="0"/>
          <w:numId w:val="7"/>
        </w:numPr>
        <w:spacing w:after="0" w:line="240" w:lineRule="auto"/>
        <w:jc w:val="both"/>
        <w:rPr>
          <w:rFonts w:ascii="Bookman Old Style" w:hAnsi="Bookman Old Style"/>
        </w:rPr>
      </w:pPr>
      <w:r>
        <w:rPr>
          <w:rFonts w:ascii="Bookman Old Style" w:hAnsi="Bookman Old Style"/>
        </w:rPr>
        <w:t>C</w:t>
      </w:r>
      <w:r w:rsidRPr="00DD6CF4">
        <w:rPr>
          <w:rFonts w:ascii="Bookman Old Style" w:hAnsi="Bookman Old Style"/>
        </w:rPr>
        <w:t>olumns storing paths should end in “</w:t>
      </w:r>
      <w:proofErr w:type="spellStart"/>
      <w:r>
        <w:rPr>
          <w:rFonts w:ascii="Bookman Old Style" w:hAnsi="Bookman Old Style"/>
        </w:rPr>
        <w:t>url</w:t>
      </w:r>
      <w:proofErr w:type="spellEnd"/>
      <w:r w:rsidRPr="00DD6CF4">
        <w:rPr>
          <w:rFonts w:ascii="Bookman Old Style" w:hAnsi="Bookman Old Style"/>
        </w:rPr>
        <w:t xml:space="preserve">”. </w:t>
      </w:r>
    </w:p>
    <w:p w:rsidR="00DD6CF4" w:rsidRPr="00DD6CF4" w:rsidRDefault="00DD6CF4" w:rsidP="00DD6CF4">
      <w:pPr>
        <w:pStyle w:val="ListParagraph"/>
        <w:numPr>
          <w:ilvl w:val="0"/>
          <w:numId w:val="7"/>
        </w:numPr>
        <w:spacing w:after="0" w:line="240" w:lineRule="auto"/>
        <w:jc w:val="both"/>
        <w:rPr>
          <w:rFonts w:ascii="Bookman Old Style" w:hAnsi="Bookman Old Style"/>
        </w:rPr>
      </w:pPr>
      <w:r w:rsidRPr="00DD6CF4">
        <w:rPr>
          <w:rFonts w:ascii="Bookman Old Style" w:hAnsi="Bookman Old Style"/>
        </w:rPr>
        <w:t xml:space="preserve">Only the identifier and name columns (and maybe other columns that are used in JOINs) can have the table name as prefix. All other columns should not have table name as prefix. </w:t>
      </w:r>
    </w:p>
    <w:p w:rsidR="00DD6CF4" w:rsidRDefault="00DD6CF4" w:rsidP="00F67A88">
      <w:pPr>
        <w:ind w:left="720" w:firstLine="720"/>
        <w:rPr>
          <w:rFonts w:ascii="Bookman Old Style" w:hAnsi="Bookman Old Style"/>
        </w:rPr>
      </w:pPr>
    </w:p>
    <w:p w:rsidR="008E7113" w:rsidRPr="00635969" w:rsidRDefault="008E7113" w:rsidP="00635969">
      <w:pPr>
        <w:pStyle w:val="ListParagraph"/>
        <w:numPr>
          <w:ilvl w:val="1"/>
          <w:numId w:val="9"/>
        </w:numPr>
        <w:spacing w:after="0" w:line="240" w:lineRule="auto"/>
        <w:jc w:val="both"/>
        <w:rPr>
          <w:rFonts w:ascii="Bookman Old Style" w:hAnsi="Bookman Old Style"/>
          <w:color w:val="17365D" w:themeColor="text2" w:themeShade="BF"/>
        </w:rPr>
      </w:pPr>
      <w:r w:rsidRPr="00635969">
        <w:rPr>
          <w:rFonts w:ascii="Bookman Old Style" w:hAnsi="Bookman Old Style"/>
          <w:color w:val="17365D" w:themeColor="text2" w:themeShade="BF"/>
        </w:rPr>
        <w:t xml:space="preserve">Data Types </w:t>
      </w:r>
    </w:p>
    <w:p w:rsidR="008E7113" w:rsidRPr="00635969" w:rsidRDefault="008E7113" w:rsidP="00635969">
      <w:pPr>
        <w:pStyle w:val="ListParagraph"/>
        <w:spacing w:after="0" w:line="240" w:lineRule="auto"/>
        <w:jc w:val="both"/>
        <w:rPr>
          <w:rFonts w:ascii="Bookman Old Style" w:hAnsi="Bookman Old Style"/>
        </w:rPr>
      </w:pPr>
      <w:r w:rsidRPr="00635969">
        <w:rPr>
          <w:rFonts w:ascii="Bookman Old Style" w:hAnsi="Bookman Old Style"/>
        </w:rPr>
        <w:t>The data types that are allowed to be used for different columns are as noted below:</w:t>
      </w:r>
    </w:p>
    <w:p w:rsidR="008E7113" w:rsidRDefault="008E7113" w:rsidP="008E7113">
      <w:pPr>
        <w:spacing w:after="0" w:line="240" w:lineRule="auto"/>
        <w:ind w:firstLine="720"/>
        <w:jc w:val="both"/>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4"/>
        <w:gridCol w:w="6388"/>
      </w:tblGrid>
      <w:tr w:rsidR="008E7113" w:rsidRPr="00D42FE0" w:rsidTr="00F93E6A">
        <w:trPr>
          <w:trHeight w:val="231"/>
        </w:trPr>
        <w:tc>
          <w:tcPr>
            <w:tcW w:w="1834" w:type="dxa"/>
            <w:noWrap/>
          </w:tcPr>
          <w:p w:rsidR="008E7113" w:rsidRPr="00D42FE0" w:rsidRDefault="008E7113" w:rsidP="00F93E6A">
            <w:pPr>
              <w:spacing w:after="0" w:line="240" w:lineRule="auto"/>
              <w:rPr>
                <w:color w:val="000000"/>
              </w:rPr>
            </w:pPr>
            <w:r w:rsidRPr="00D42FE0">
              <w:rPr>
                <w:color w:val="000000"/>
              </w:rPr>
              <w:t>Data Type</w:t>
            </w:r>
          </w:p>
        </w:tc>
        <w:tc>
          <w:tcPr>
            <w:tcW w:w="6388" w:type="dxa"/>
            <w:noWrap/>
          </w:tcPr>
          <w:p w:rsidR="008E7113" w:rsidRPr="00D42FE0" w:rsidRDefault="008E7113" w:rsidP="00F93E6A">
            <w:pPr>
              <w:spacing w:after="0" w:line="240" w:lineRule="auto"/>
              <w:rPr>
                <w:color w:val="000000"/>
              </w:rPr>
            </w:pPr>
            <w:r w:rsidRPr="00D42FE0">
              <w:rPr>
                <w:color w:val="000000"/>
              </w:rPr>
              <w:t>Usage</w:t>
            </w:r>
          </w:p>
        </w:tc>
      </w:tr>
      <w:tr w:rsidR="008E7113" w:rsidRPr="00D42FE0" w:rsidTr="00F93E6A">
        <w:trPr>
          <w:trHeight w:val="235"/>
        </w:trPr>
        <w:tc>
          <w:tcPr>
            <w:tcW w:w="1834" w:type="dxa"/>
            <w:noWrap/>
          </w:tcPr>
          <w:p w:rsidR="008E7113" w:rsidRPr="00D42FE0" w:rsidRDefault="008E7113" w:rsidP="00F93E6A">
            <w:pPr>
              <w:spacing w:after="0" w:line="240" w:lineRule="auto"/>
              <w:rPr>
                <w:color w:val="000000"/>
              </w:rPr>
            </w:pPr>
            <w:proofErr w:type="spellStart"/>
            <w:r w:rsidRPr="00D42FE0">
              <w:rPr>
                <w:color w:val="000000"/>
              </w:rPr>
              <w:t>Int</w:t>
            </w:r>
            <w:proofErr w:type="spellEnd"/>
          </w:p>
        </w:tc>
        <w:tc>
          <w:tcPr>
            <w:tcW w:w="6388" w:type="dxa"/>
            <w:noWrap/>
          </w:tcPr>
          <w:p w:rsidR="008E7113" w:rsidRPr="00D42FE0" w:rsidRDefault="008E7113" w:rsidP="00F93E6A">
            <w:pPr>
              <w:spacing w:after="0" w:line="240" w:lineRule="auto"/>
              <w:rPr>
                <w:color w:val="000000"/>
              </w:rPr>
            </w:pPr>
            <w:r w:rsidRPr="00D42FE0">
              <w:rPr>
                <w:color w:val="000000"/>
              </w:rPr>
              <w:t>For identifiers– columns ending in “id”</w:t>
            </w:r>
          </w:p>
        </w:tc>
      </w:tr>
      <w:tr w:rsidR="008E7113" w:rsidRPr="00D42FE0" w:rsidTr="00F93E6A">
        <w:trPr>
          <w:trHeight w:val="253"/>
        </w:trPr>
        <w:tc>
          <w:tcPr>
            <w:tcW w:w="1834" w:type="dxa"/>
            <w:noWrap/>
          </w:tcPr>
          <w:p w:rsidR="008E7113" w:rsidRPr="00D42FE0" w:rsidRDefault="008E7113" w:rsidP="00F93E6A">
            <w:pPr>
              <w:spacing w:after="0" w:line="240" w:lineRule="auto"/>
              <w:rPr>
                <w:color w:val="000000"/>
              </w:rPr>
            </w:pPr>
            <w:proofErr w:type="spellStart"/>
            <w:r w:rsidRPr="00D42FE0">
              <w:rPr>
                <w:color w:val="000000"/>
              </w:rPr>
              <w:t>Varchar</w:t>
            </w:r>
            <w:proofErr w:type="spellEnd"/>
            <w:r w:rsidRPr="00D42FE0">
              <w:rPr>
                <w:color w:val="000000"/>
              </w:rPr>
              <w:t>(20)</w:t>
            </w:r>
          </w:p>
        </w:tc>
        <w:tc>
          <w:tcPr>
            <w:tcW w:w="6388" w:type="dxa"/>
            <w:noWrap/>
          </w:tcPr>
          <w:p w:rsidR="008E7113" w:rsidRPr="00D42FE0" w:rsidRDefault="008E7113" w:rsidP="00F93E6A">
            <w:pPr>
              <w:spacing w:after="0" w:line="240" w:lineRule="auto"/>
              <w:rPr>
                <w:color w:val="000000"/>
              </w:rPr>
            </w:pPr>
            <w:r w:rsidRPr="00D42FE0">
              <w:rPr>
                <w:color w:val="000000"/>
              </w:rPr>
              <w:t xml:space="preserve">For constant values, simple status </w:t>
            </w:r>
          </w:p>
        </w:tc>
      </w:tr>
      <w:tr w:rsidR="008E7113" w:rsidRPr="00D42FE0" w:rsidTr="00F93E6A">
        <w:trPr>
          <w:trHeight w:val="458"/>
        </w:trPr>
        <w:tc>
          <w:tcPr>
            <w:tcW w:w="1834" w:type="dxa"/>
            <w:noWrap/>
          </w:tcPr>
          <w:p w:rsidR="008E7113" w:rsidRPr="00D42FE0" w:rsidRDefault="008E7113" w:rsidP="00F93E6A">
            <w:pPr>
              <w:spacing w:after="0" w:line="240" w:lineRule="auto"/>
              <w:rPr>
                <w:color w:val="000000"/>
              </w:rPr>
            </w:pPr>
            <w:proofErr w:type="spellStart"/>
            <w:r w:rsidRPr="00D42FE0">
              <w:rPr>
                <w:color w:val="000000"/>
              </w:rPr>
              <w:t>Varchar</w:t>
            </w:r>
            <w:proofErr w:type="spellEnd"/>
            <w:r w:rsidRPr="00D42FE0">
              <w:rPr>
                <w:color w:val="000000"/>
              </w:rPr>
              <w:t>(100)</w:t>
            </w:r>
          </w:p>
        </w:tc>
        <w:tc>
          <w:tcPr>
            <w:tcW w:w="6388" w:type="dxa"/>
            <w:noWrap/>
          </w:tcPr>
          <w:p w:rsidR="008E7113" w:rsidRPr="00D42FE0" w:rsidRDefault="008E7113" w:rsidP="00F93E6A">
            <w:pPr>
              <w:spacing w:after="0" w:line="240" w:lineRule="auto"/>
              <w:rPr>
                <w:color w:val="000000"/>
              </w:rPr>
            </w:pPr>
            <w:r w:rsidRPr="00D42FE0">
              <w:rPr>
                <w:color w:val="000000"/>
              </w:rPr>
              <w:t>For small strings, such as name, code, etc. – these are received using Text Fields in the user interface</w:t>
            </w:r>
          </w:p>
        </w:tc>
      </w:tr>
      <w:tr w:rsidR="008E7113" w:rsidRPr="00D42FE0" w:rsidTr="00F93E6A">
        <w:trPr>
          <w:trHeight w:val="458"/>
        </w:trPr>
        <w:tc>
          <w:tcPr>
            <w:tcW w:w="1834" w:type="dxa"/>
            <w:noWrap/>
          </w:tcPr>
          <w:p w:rsidR="008E7113" w:rsidRPr="00D42FE0" w:rsidRDefault="008E7113" w:rsidP="00F93E6A">
            <w:pPr>
              <w:spacing w:after="0" w:line="240" w:lineRule="auto"/>
              <w:rPr>
                <w:color w:val="000000"/>
              </w:rPr>
            </w:pPr>
            <w:proofErr w:type="spellStart"/>
            <w:r w:rsidRPr="00D42FE0">
              <w:rPr>
                <w:color w:val="000000"/>
              </w:rPr>
              <w:t>Varchar</w:t>
            </w:r>
            <w:proofErr w:type="spellEnd"/>
            <w:r w:rsidRPr="00D42FE0">
              <w:rPr>
                <w:color w:val="000000"/>
              </w:rPr>
              <w:t>(250)</w:t>
            </w:r>
          </w:p>
        </w:tc>
        <w:tc>
          <w:tcPr>
            <w:tcW w:w="6388" w:type="dxa"/>
            <w:noWrap/>
          </w:tcPr>
          <w:p w:rsidR="008E7113" w:rsidRPr="00D42FE0" w:rsidRDefault="008E7113" w:rsidP="00F93E6A">
            <w:pPr>
              <w:spacing w:after="0" w:line="240" w:lineRule="auto"/>
              <w:rPr>
                <w:color w:val="000000"/>
              </w:rPr>
            </w:pPr>
            <w:r w:rsidRPr="00D42FE0">
              <w:rPr>
                <w:color w:val="000000"/>
              </w:rPr>
              <w:t>For longer strings, such as description – these are received using Text Area Fields in the user interface</w:t>
            </w:r>
          </w:p>
        </w:tc>
      </w:tr>
      <w:tr w:rsidR="008E7113" w:rsidRPr="00D42FE0" w:rsidTr="00F93E6A">
        <w:trPr>
          <w:trHeight w:val="311"/>
        </w:trPr>
        <w:tc>
          <w:tcPr>
            <w:tcW w:w="1834" w:type="dxa"/>
            <w:noWrap/>
          </w:tcPr>
          <w:p w:rsidR="008E7113" w:rsidRPr="00D42FE0" w:rsidRDefault="008E7113" w:rsidP="00F93E6A">
            <w:pPr>
              <w:spacing w:after="0" w:line="240" w:lineRule="auto"/>
              <w:rPr>
                <w:color w:val="000000"/>
              </w:rPr>
            </w:pPr>
            <w:proofErr w:type="spellStart"/>
            <w:r w:rsidRPr="00D42FE0">
              <w:rPr>
                <w:color w:val="000000"/>
              </w:rPr>
              <w:t>Varchar</w:t>
            </w:r>
            <w:proofErr w:type="spellEnd"/>
            <w:r w:rsidRPr="00D42FE0">
              <w:rPr>
                <w:color w:val="000000"/>
              </w:rPr>
              <w:t xml:space="preserve">(500) </w:t>
            </w:r>
          </w:p>
        </w:tc>
        <w:tc>
          <w:tcPr>
            <w:tcW w:w="6388" w:type="dxa"/>
            <w:noWrap/>
          </w:tcPr>
          <w:p w:rsidR="008E7113" w:rsidRPr="00D42FE0" w:rsidRDefault="008E7113" w:rsidP="00F93E6A">
            <w:pPr>
              <w:spacing w:after="0" w:line="240" w:lineRule="auto"/>
              <w:rPr>
                <w:color w:val="000000"/>
              </w:rPr>
            </w:pPr>
            <w:r w:rsidRPr="00D42FE0">
              <w:rPr>
                <w:color w:val="000000"/>
              </w:rPr>
              <w:t>For storing URLs – columns ending in “URL”</w:t>
            </w:r>
          </w:p>
        </w:tc>
      </w:tr>
      <w:tr w:rsidR="008E7113" w:rsidRPr="00D42FE0" w:rsidTr="00F93E6A">
        <w:trPr>
          <w:trHeight w:val="287"/>
        </w:trPr>
        <w:tc>
          <w:tcPr>
            <w:tcW w:w="1834" w:type="dxa"/>
            <w:noWrap/>
          </w:tcPr>
          <w:p w:rsidR="008E7113" w:rsidRPr="00D42FE0" w:rsidRDefault="008E7113" w:rsidP="00F93E6A">
            <w:pPr>
              <w:spacing w:after="0" w:line="240" w:lineRule="auto"/>
              <w:rPr>
                <w:color w:val="000000"/>
              </w:rPr>
            </w:pPr>
            <w:proofErr w:type="spellStart"/>
            <w:r w:rsidRPr="00D42FE0">
              <w:rPr>
                <w:color w:val="000000"/>
              </w:rPr>
              <w:t>Varchar</w:t>
            </w:r>
            <w:proofErr w:type="spellEnd"/>
            <w:r w:rsidRPr="00D42FE0">
              <w:rPr>
                <w:color w:val="000000"/>
              </w:rPr>
              <w:t>(1000)</w:t>
            </w:r>
          </w:p>
        </w:tc>
        <w:tc>
          <w:tcPr>
            <w:tcW w:w="6388" w:type="dxa"/>
            <w:noWrap/>
          </w:tcPr>
          <w:p w:rsidR="008E7113" w:rsidRPr="00D42FE0" w:rsidRDefault="008E7113" w:rsidP="00F93E6A">
            <w:pPr>
              <w:spacing w:after="0" w:line="240" w:lineRule="auto"/>
              <w:rPr>
                <w:color w:val="000000"/>
              </w:rPr>
            </w:pPr>
            <w:r w:rsidRPr="00D42FE0">
              <w:rPr>
                <w:color w:val="000000"/>
              </w:rPr>
              <w:t>For comma separated lists (CSL)</w:t>
            </w:r>
          </w:p>
        </w:tc>
      </w:tr>
      <w:tr w:rsidR="008E7113" w:rsidRPr="00D42FE0" w:rsidTr="00F93E6A">
        <w:trPr>
          <w:trHeight w:val="458"/>
        </w:trPr>
        <w:tc>
          <w:tcPr>
            <w:tcW w:w="1834" w:type="dxa"/>
            <w:noWrap/>
          </w:tcPr>
          <w:p w:rsidR="008E7113" w:rsidRPr="00D42FE0" w:rsidRDefault="008E7113" w:rsidP="00F93E6A">
            <w:pPr>
              <w:spacing w:after="0" w:line="240" w:lineRule="auto"/>
              <w:rPr>
                <w:color w:val="000000"/>
              </w:rPr>
            </w:pPr>
            <w:r w:rsidRPr="00D42FE0">
              <w:rPr>
                <w:color w:val="000000"/>
              </w:rPr>
              <w:t>Text</w:t>
            </w:r>
          </w:p>
        </w:tc>
        <w:tc>
          <w:tcPr>
            <w:tcW w:w="6388" w:type="dxa"/>
            <w:noWrap/>
          </w:tcPr>
          <w:p w:rsidR="008E7113" w:rsidRPr="00D42FE0" w:rsidRDefault="008E7113" w:rsidP="00F93E6A">
            <w:pPr>
              <w:spacing w:after="0" w:line="240" w:lineRule="auto"/>
              <w:rPr>
                <w:color w:val="000000"/>
              </w:rPr>
            </w:pPr>
            <w:r w:rsidRPr="00D42FE0">
              <w:rPr>
                <w:color w:val="000000"/>
              </w:rPr>
              <w:t>For large text such as HTML text – these are received using HTML Text Field in the user interface</w:t>
            </w:r>
          </w:p>
        </w:tc>
      </w:tr>
      <w:tr w:rsidR="008E7113" w:rsidRPr="00D42FE0" w:rsidTr="00F93E6A">
        <w:trPr>
          <w:trHeight w:val="299"/>
        </w:trPr>
        <w:tc>
          <w:tcPr>
            <w:tcW w:w="1834" w:type="dxa"/>
            <w:noWrap/>
          </w:tcPr>
          <w:p w:rsidR="008E7113" w:rsidRPr="00D42FE0" w:rsidRDefault="008E7113" w:rsidP="00F93E6A">
            <w:pPr>
              <w:spacing w:after="0" w:line="240" w:lineRule="auto"/>
              <w:rPr>
                <w:color w:val="000000"/>
              </w:rPr>
            </w:pPr>
            <w:r w:rsidRPr="00D42FE0">
              <w:rPr>
                <w:color w:val="000000"/>
              </w:rPr>
              <w:t xml:space="preserve">Float </w:t>
            </w:r>
          </w:p>
        </w:tc>
        <w:tc>
          <w:tcPr>
            <w:tcW w:w="6388" w:type="dxa"/>
            <w:noWrap/>
          </w:tcPr>
          <w:p w:rsidR="008E7113" w:rsidRPr="00D42FE0" w:rsidRDefault="008E7113" w:rsidP="00A534DD">
            <w:pPr>
              <w:spacing w:after="0" w:line="240" w:lineRule="auto"/>
              <w:rPr>
                <w:color w:val="000000"/>
              </w:rPr>
            </w:pPr>
            <w:r w:rsidRPr="00D42FE0">
              <w:rPr>
                <w:color w:val="000000"/>
              </w:rPr>
              <w:t>For storing currency values such as amount, price,</w:t>
            </w:r>
            <w:r w:rsidR="0084086D">
              <w:rPr>
                <w:color w:val="000000"/>
              </w:rPr>
              <w:t xml:space="preserve"> and quantity like 1.2kg</w:t>
            </w:r>
            <w:r w:rsidRPr="00D42FE0">
              <w:rPr>
                <w:color w:val="000000"/>
              </w:rPr>
              <w:t xml:space="preserve"> etc.  </w:t>
            </w:r>
            <w:r w:rsidR="00115F96">
              <w:rPr>
                <w:color w:val="000000"/>
              </w:rPr>
              <w:t>&lt;</w:t>
            </w:r>
            <w:r w:rsidRPr="00D42FE0">
              <w:rPr>
                <w:color w:val="000000"/>
              </w:rPr>
              <w:t>When a currency value is stored, there MUST be additional column named “currency” storing the symbol of the currency in which the value is specified</w:t>
            </w:r>
            <w:r w:rsidR="00115F96">
              <w:rPr>
                <w:color w:val="000000"/>
              </w:rPr>
              <w:t>&gt;</w:t>
            </w:r>
            <w:r w:rsidRPr="00D42FE0">
              <w:rPr>
                <w:color w:val="000000"/>
              </w:rPr>
              <w:t>.</w:t>
            </w:r>
          </w:p>
        </w:tc>
      </w:tr>
      <w:tr w:rsidR="008E7113" w:rsidRPr="00D42FE0" w:rsidTr="00F93E6A">
        <w:trPr>
          <w:trHeight w:val="458"/>
        </w:trPr>
        <w:tc>
          <w:tcPr>
            <w:tcW w:w="1834" w:type="dxa"/>
            <w:noWrap/>
          </w:tcPr>
          <w:p w:rsidR="008E7113" w:rsidRPr="00D42FE0" w:rsidRDefault="008E7113" w:rsidP="00F93E6A">
            <w:pPr>
              <w:spacing w:after="0" w:line="240" w:lineRule="auto"/>
              <w:rPr>
                <w:color w:val="000000"/>
              </w:rPr>
            </w:pPr>
            <w:proofErr w:type="spellStart"/>
            <w:r w:rsidRPr="00D42FE0">
              <w:rPr>
                <w:color w:val="000000"/>
              </w:rPr>
              <w:lastRenderedPageBreak/>
              <w:t>DateTime</w:t>
            </w:r>
            <w:proofErr w:type="spellEnd"/>
          </w:p>
        </w:tc>
        <w:tc>
          <w:tcPr>
            <w:tcW w:w="6388" w:type="dxa"/>
            <w:noWrap/>
          </w:tcPr>
          <w:p w:rsidR="008E7113" w:rsidRPr="00D42FE0" w:rsidRDefault="008E7113" w:rsidP="00F93E6A">
            <w:pPr>
              <w:spacing w:after="0" w:line="240" w:lineRule="auto"/>
              <w:rPr>
                <w:color w:val="000000"/>
              </w:rPr>
            </w:pPr>
            <w:r w:rsidRPr="00D42FE0">
              <w:rPr>
                <w:color w:val="000000"/>
              </w:rPr>
              <w:t>For storing dates and/or time – these are received using Calendar and Time Fields. These are columns ending in “DT”.</w:t>
            </w:r>
          </w:p>
        </w:tc>
      </w:tr>
      <w:tr w:rsidR="008E7113" w:rsidRPr="00D42FE0" w:rsidTr="00F93E6A">
        <w:trPr>
          <w:trHeight w:val="458"/>
        </w:trPr>
        <w:tc>
          <w:tcPr>
            <w:tcW w:w="1834" w:type="dxa"/>
            <w:noWrap/>
          </w:tcPr>
          <w:p w:rsidR="008E7113" w:rsidRPr="00D42FE0" w:rsidRDefault="008E7113" w:rsidP="00F93E6A">
            <w:pPr>
              <w:spacing w:after="0" w:line="240" w:lineRule="auto"/>
              <w:rPr>
                <w:color w:val="000000"/>
              </w:rPr>
            </w:pPr>
            <w:r w:rsidRPr="00D42FE0">
              <w:rPr>
                <w:color w:val="000000"/>
              </w:rPr>
              <w:t>Char(1)</w:t>
            </w:r>
          </w:p>
        </w:tc>
        <w:tc>
          <w:tcPr>
            <w:tcW w:w="6388" w:type="dxa"/>
            <w:noWrap/>
          </w:tcPr>
          <w:p w:rsidR="008E7113" w:rsidRPr="00D42FE0" w:rsidRDefault="008E7113" w:rsidP="00F93E6A">
            <w:pPr>
              <w:spacing w:after="0" w:line="240" w:lineRule="auto"/>
              <w:rPr>
                <w:color w:val="000000"/>
              </w:rPr>
            </w:pPr>
            <w:r w:rsidRPr="00D42FE0">
              <w:rPr>
                <w:color w:val="000000"/>
              </w:rPr>
              <w:t>For specifying a flag using two values ‘T’ (true) or ‘F’ false. These are columns ending in “flag”</w:t>
            </w: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r w:rsidR="00635969" w:rsidRPr="00D42FE0" w:rsidTr="00F93E6A">
        <w:trPr>
          <w:trHeight w:val="458"/>
        </w:trPr>
        <w:tc>
          <w:tcPr>
            <w:tcW w:w="1834" w:type="dxa"/>
            <w:noWrap/>
          </w:tcPr>
          <w:p w:rsidR="00635969" w:rsidRPr="00D42FE0" w:rsidRDefault="00635969" w:rsidP="00F93E6A">
            <w:pPr>
              <w:spacing w:after="0" w:line="240" w:lineRule="auto"/>
              <w:rPr>
                <w:color w:val="000000"/>
              </w:rPr>
            </w:pPr>
          </w:p>
        </w:tc>
        <w:tc>
          <w:tcPr>
            <w:tcW w:w="6388" w:type="dxa"/>
            <w:noWrap/>
          </w:tcPr>
          <w:p w:rsidR="00635969" w:rsidRPr="00D42FE0" w:rsidRDefault="00635969" w:rsidP="00F93E6A">
            <w:pPr>
              <w:spacing w:after="0" w:line="240" w:lineRule="auto"/>
              <w:rPr>
                <w:color w:val="000000"/>
              </w:rPr>
            </w:pPr>
          </w:p>
        </w:tc>
      </w:tr>
    </w:tbl>
    <w:p w:rsidR="008E7113" w:rsidRPr="00AD5EC5" w:rsidRDefault="008E7113" w:rsidP="00F67A88">
      <w:pPr>
        <w:ind w:left="720" w:firstLine="720"/>
        <w:rPr>
          <w:rFonts w:ascii="Bookman Old Style" w:hAnsi="Bookman Old Style"/>
        </w:rPr>
      </w:pPr>
    </w:p>
    <w:sectPr w:rsidR="008E7113" w:rsidRPr="00AD5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71608"/>
    <w:multiLevelType w:val="multilevel"/>
    <w:tmpl w:val="BF5E257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6F43D49"/>
    <w:multiLevelType w:val="hybridMultilevel"/>
    <w:tmpl w:val="D64229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56D40"/>
    <w:multiLevelType w:val="hybridMultilevel"/>
    <w:tmpl w:val="1A8CAC1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0F5045"/>
    <w:multiLevelType w:val="multilevel"/>
    <w:tmpl w:val="4C0AAAA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0E0CA4"/>
    <w:multiLevelType w:val="hybridMultilevel"/>
    <w:tmpl w:val="11868668"/>
    <w:lvl w:ilvl="0" w:tplc="CB122240">
      <w:start w:val="1"/>
      <w:numFmt w:val="upperLetter"/>
      <w:lvlText w:val="%1."/>
      <w:lvlJc w:val="left"/>
      <w:pPr>
        <w:ind w:left="720" w:hanging="360"/>
      </w:pPr>
      <w:rPr>
        <w:rFonts w:ascii="Calibri" w:eastAsia="Times New Roman" w:hAnsi="Calibri"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196331"/>
    <w:multiLevelType w:val="multilevel"/>
    <w:tmpl w:val="2FE02B0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3584F47"/>
    <w:multiLevelType w:val="hybridMultilevel"/>
    <w:tmpl w:val="3BBA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8527C0"/>
    <w:multiLevelType w:val="hybridMultilevel"/>
    <w:tmpl w:val="51689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61EC9"/>
    <w:multiLevelType w:val="hybridMultilevel"/>
    <w:tmpl w:val="11868668"/>
    <w:lvl w:ilvl="0" w:tplc="CB122240">
      <w:start w:val="1"/>
      <w:numFmt w:val="upperLetter"/>
      <w:lvlText w:val="%1."/>
      <w:lvlJc w:val="left"/>
      <w:pPr>
        <w:ind w:left="720" w:hanging="360"/>
      </w:pPr>
      <w:rPr>
        <w:rFonts w:ascii="Calibri" w:eastAsia="Times New Roman" w:hAnsi="Calibri"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7"/>
  </w:num>
  <w:num w:numId="6">
    <w:abstractNumId w:val="8"/>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16"/>
    <w:rsid w:val="00115F96"/>
    <w:rsid w:val="00635969"/>
    <w:rsid w:val="00725580"/>
    <w:rsid w:val="007C1C7A"/>
    <w:rsid w:val="007E1A8D"/>
    <w:rsid w:val="008078CC"/>
    <w:rsid w:val="0084086D"/>
    <w:rsid w:val="008E7113"/>
    <w:rsid w:val="0097240D"/>
    <w:rsid w:val="00983D15"/>
    <w:rsid w:val="00A03401"/>
    <w:rsid w:val="00A534DD"/>
    <w:rsid w:val="00AD5EC5"/>
    <w:rsid w:val="00CF6468"/>
    <w:rsid w:val="00D0511C"/>
    <w:rsid w:val="00DD6CF4"/>
    <w:rsid w:val="00F01716"/>
    <w:rsid w:val="00F6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1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7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1C7A"/>
    <w:pPr>
      <w:ind w:left="720"/>
      <w:contextualSpacing/>
    </w:pPr>
  </w:style>
  <w:style w:type="paragraph" w:styleId="BalloonText">
    <w:name w:val="Balloon Text"/>
    <w:basedOn w:val="Normal"/>
    <w:link w:val="BalloonTextChar"/>
    <w:uiPriority w:val="99"/>
    <w:semiHidden/>
    <w:unhideWhenUsed/>
    <w:rsid w:val="00F6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7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01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7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1C7A"/>
    <w:pPr>
      <w:ind w:left="720"/>
      <w:contextualSpacing/>
    </w:pPr>
  </w:style>
  <w:style w:type="paragraph" w:styleId="BalloonText">
    <w:name w:val="Balloon Text"/>
    <w:basedOn w:val="Normal"/>
    <w:link w:val="BalloonTextChar"/>
    <w:uiPriority w:val="99"/>
    <w:semiHidden/>
    <w:unhideWhenUsed/>
    <w:rsid w:val="00F67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dc:creator>
  <cp:lastModifiedBy>Vivek S</cp:lastModifiedBy>
  <cp:revision>51</cp:revision>
  <dcterms:created xsi:type="dcterms:W3CDTF">2014-07-23T18:15:00Z</dcterms:created>
  <dcterms:modified xsi:type="dcterms:W3CDTF">2014-07-23T18:57:00Z</dcterms:modified>
</cp:coreProperties>
</file>