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9CB3" w14:textId="77777777" w:rsidR="00A6048E" w:rsidRPr="00251474" w:rsidRDefault="00000000">
      <w:pPr>
        <w:spacing w:after="30"/>
        <w:jc w:val="center"/>
        <w:rPr>
          <w:sz w:val="18"/>
          <w:szCs w:val="18"/>
        </w:rPr>
      </w:pPr>
      <w:r w:rsidRPr="00251474">
        <w:rPr>
          <w:rFonts w:ascii="Calibri" w:eastAsia="Calibri" w:hAnsi="Calibri" w:cs="Calibri"/>
          <w:b/>
          <w:bCs/>
          <w:color w:val="1F3864"/>
          <w:sz w:val="32"/>
          <w:szCs w:val="32"/>
        </w:rPr>
        <w:t>ALBATROZZ APPAREL: A BUSINESS POST-MORTEM</w:t>
      </w:r>
    </w:p>
    <w:p w14:paraId="3FFA5BF0" w14:textId="77777777" w:rsidR="00A6048E" w:rsidRPr="00251474" w:rsidRDefault="00000000">
      <w:pPr>
        <w:spacing w:after="160"/>
        <w:jc w:val="center"/>
        <w:rPr>
          <w:sz w:val="18"/>
          <w:szCs w:val="18"/>
        </w:rPr>
      </w:pPr>
      <w:r w:rsidRPr="00251474">
        <w:rPr>
          <w:rFonts w:ascii="Calibri" w:eastAsia="Calibri" w:hAnsi="Calibri" w:cs="Calibri"/>
          <w:i/>
          <w:iCs/>
          <w:color w:val="595959"/>
          <w:sz w:val="18"/>
          <w:szCs w:val="18"/>
        </w:rPr>
        <w:t>Why revenue fell 22% in Year 2 — and why the obvious explanation is only half right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048E" w:rsidRPr="00251474" w14:paraId="602570A6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A5E906" w14:textId="77777777" w:rsidR="00A6048E" w:rsidRPr="00251474" w:rsidRDefault="00000000">
            <w:pPr>
              <w:jc w:val="center"/>
              <w:rPr>
                <w:sz w:val="18"/>
                <w:szCs w:val="18"/>
              </w:rPr>
            </w:pPr>
            <w:r w:rsidRPr="00251474">
              <w:rPr>
                <w:rFonts w:ascii="Calibri" w:eastAsia="Calibri" w:hAnsi="Calibri" w:cs="Calibri"/>
                <w:b/>
                <w:bCs/>
                <w:color w:val="1F3864"/>
                <w:sz w:val="24"/>
                <w:szCs w:val="24"/>
              </w:rPr>
              <w:t>505 → 435</w:t>
            </w:r>
          </w:p>
          <w:p w14:paraId="31E92EB2" w14:textId="77777777" w:rsidR="00A6048E" w:rsidRPr="00251474" w:rsidRDefault="00000000">
            <w:pPr>
              <w:spacing w:before="30"/>
              <w:jc w:val="center"/>
              <w:rPr>
                <w:sz w:val="18"/>
                <w:szCs w:val="18"/>
              </w:rPr>
            </w:pPr>
            <w:r w:rsidRPr="00251474">
              <w:rPr>
                <w:rFonts w:ascii="Calibri" w:eastAsia="Calibri" w:hAnsi="Calibri" w:cs="Calibri"/>
                <w:color w:val="595959"/>
                <w:sz w:val="12"/>
                <w:szCs w:val="12"/>
              </w:rPr>
              <w:t>Orders</w:t>
            </w:r>
          </w:p>
        </w:tc>
        <w:tc>
          <w:tcPr>
            <w:tcW w:w="1870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B14040" w14:textId="77777777" w:rsidR="00A6048E" w:rsidRPr="00251474" w:rsidRDefault="00000000">
            <w:pPr>
              <w:jc w:val="center"/>
              <w:rPr>
                <w:sz w:val="18"/>
                <w:szCs w:val="18"/>
              </w:rPr>
            </w:pPr>
            <w:r w:rsidRPr="00251474">
              <w:rPr>
                <w:rFonts w:ascii="Calibri" w:eastAsia="Calibri" w:hAnsi="Calibri" w:cs="Calibri"/>
                <w:b/>
                <w:bCs/>
                <w:color w:val="1F3864"/>
                <w:sz w:val="24"/>
                <w:szCs w:val="24"/>
              </w:rPr>
              <w:t>-22.2%</w:t>
            </w:r>
          </w:p>
          <w:p w14:paraId="7FFAC311" w14:textId="77777777" w:rsidR="00A6048E" w:rsidRPr="00251474" w:rsidRDefault="00000000">
            <w:pPr>
              <w:spacing w:before="30"/>
              <w:jc w:val="center"/>
              <w:rPr>
                <w:sz w:val="18"/>
                <w:szCs w:val="18"/>
              </w:rPr>
            </w:pPr>
            <w:r w:rsidRPr="00251474">
              <w:rPr>
                <w:rFonts w:ascii="Calibri" w:eastAsia="Calibri" w:hAnsi="Calibri" w:cs="Calibri"/>
                <w:color w:val="595959"/>
                <w:sz w:val="12"/>
                <w:szCs w:val="12"/>
              </w:rPr>
              <w:t>Revenue</w:t>
            </w:r>
          </w:p>
        </w:tc>
        <w:tc>
          <w:tcPr>
            <w:tcW w:w="1870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1A71FD" w14:textId="77777777" w:rsidR="00A6048E" w:rsidRPr="00251474" w:rsidRDefault="00000000">
            <w:pPr>
              <w:jc w:val="center"/>
              <w:rPr>
                <w:sz w:val="18"/>
                <w:szCs w:val="18"/>
              </w:rPr>
            </w:pPr>
            <w:r w:rsidRPr="00251474">
              <w:rPr>
                <w:rFonts w:ascii="Calibri" w:eastAsia="Calibri" w:hAnsi="Calibri" w:cs="Calibri"/>
                <w:b/>
                <w:bCs/>
                <w:color w:val="1F3864"/>
                <w:sz w:val="24"/>
                <w:szCs w:val="24"/>
              </w:rPr>
              <w:t>-23.4%</w:t>
            </w:r>
          </w:p>
          <w:p w14:paraId="5B93D8D7" w14:textId="77777777" w:rsidR="00A6048E" w:rsidRPr="00251474" w:rsidRDefault="00000000">
            <w:pPr>
              <w:spacing w:before="30"/>
              <w:jc w:val="center"/>
              <w:rPr>
                <w:sz w:val="18"/>
                <w:szCs w:val="18"/>
              </w:rPr>
            </w:pPr>
            <w:r w:rsidRPr="00251474">
              <w:rPr>
                <w:rFonts w:ascii="Calibri" w:eastAsia="Calibri" w:hAnsi="Calibri" w:cs="Calibri"/>
                <w:color w:val="595959"/>
                <w:sz w:val="12"/>
                <w:szCs w:val="12"/>
              </w:rPr>
              <w:t>Ad Spend</w:t>
            </w:r>
          </w:p>
        </w:tc>
        <w:tc>
          <w:tcPr>
            <w:tcW w:w="1870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F29974" w14:textId="77777777" w:rsidR="00A6048E" w:rsidRPr="00251474" w:rsidRDefault="00000000">
            <w:pPr>
              <w:jc w:val="center"/>
              <w:rPr>
                <w:sz w:val="18"/>
                <w:szCs w:val="18"/>
              </w:rPr>
            </w:pPr>
            <w:r w:rsidRPr="00251474">
              <w:rPr>
                <w:rFonts w:ascii="Calibri" w:eastAsia="Calibri" w:hAnsi="Calibri" w:cs="Calibri"/>
                <w:b/>
                <w:bCs/>
                <w:color w:val="1F3864"/>
                <w:sz w:val="24"/>
                <w:szCs w:val="24"/>
              </w:rPr>
              <w:t>-9.4%</w:t>
            </w:r>
          </w:p>
          <w:p w14:paraId="62F5DFD0" w14:textId="77777777" w:rsidR="00A6048E" w:rsidRPr="00251474" w:rsidRDefault="00000000">
            <w:pPr>
              <w:spacing w:before="30"/>
              <w:jc w:val="center"/>
              <w:rPr>
                <w:sz w:val="18"/>
                <w:szCs w:val="18"/>
              </w:rPr>
            </w:pPr>
            <w:r w:rsidRPr="00251474">
              <w:rPr>
                <w:rFonts w:ascii="Calibri" w:eastAsia="Calibri" w:hAnsi="Calibri" w:cs="Calibri"/>
                <w:color w:val="595959"/>
                <w:sz w:val="12"/>
                <w:szCs w:val="12"/>
              </w:rPr>
              <w:t>CAC (efficiency)</w:t>
            </w:r>
          </w:p>
        </w:tc>
        <w:tc>
          <w:tcPr>
            <w:tcW w:w="1870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D982541" w14:textId="77777777" w:rsidR="00A6048E" w:rsidRPr="00251474" w:rsidRDefault="00000000">
            <w:pPr>
              <w:jc w:val="center"/>
              <w:rPr>
                <w:sz w:val="18"/>
                <w:szCs w:val="18"/>
              </w:rPr>
            </w:pPr>
            <w:r w:rsidRPr="00251474">
              <w:rPr>
                <w:rFonts w:ascii="Calibri" w:eastAsia="Calibri" w:hAnsi="Calibri" w:cs="Calibri"/>
                <w:b/>
                <w:bCs/>
                <w:color w:val="1F3864"/>
                <w:sz w:val="24"/>
                <w:szCs w:val="24"/>
              </w:rPr>
              <w:t>20%→9%</w:t>
            </w:r>
          </w:p>
          <w:p w14:paraId="20D9D74D" w14:textId="77777777" w:rsidR="00A6048E" w:rsidRPr="00251474" w:rsidRDefault="00000000">
            <w:pPr>
              <w:spacing w:before="30"/>
              <w:jc w:val="center"/>
              <w:rPr>
                <w:sz w:val="18"/>
                <w:szCs w:val="18"/>
              </w:rPr>
            </w:pPr>
            <w:r w:rsidRPr="00251474">
              <w:rPr>
                <w:rFonts w:ascii="Calibri" w:eastAsia="Calibri" w:hAnsi="Calibri" w:cs="Calibri"/>
                <w:color w:val="595959"/>
                <w:sz w:val="12"/>
                <w:szCs w:val="12"/>
              </w:rPr>
              <w:t>Repeat Rate (</w:t>
            </w:r>
            <w:proofErr w:type="spellStart"/>
            <w:r w:rsidRPr="00251474">
              <w:rPr>
                <w:rFonts w:ascii="Calibri" w:eastAsia="Calibri" w:hAnsi="Calibri" w:cs="Calibri"/>
                <w:color w:val="595959"/>
                <w:sz w:val="12"/>
                <w:szCs w:val="12"/>
              </w:rPr>
              <w:t>Peak→Final</w:t>
            </w:r>
            <w:proofErr w:type="spellEnd"/>
            <w:r w:rsidRPr="00251474">
              <w:rPr>
                <w:rFonts w:ascii="Calibri" w:eastAsia="Calibri" w:hAnsi="Calibri" w:cs="Calibri"/>
                <w:color w:val="595959"/>
                <w:sz w:val="12"/>
                <w:szCs w:val="12"/>
              </w:rPr>
              <w:t>)</w:t>
            </w:r>
          </w:p>
        </w:tc>
      </w:tr>
    </w:tbl>
    <w:p w14:paraId="175F7BAE" w14:textId="77777777" w:rsidR="00A6048E" w:rsidRPr="00251474" w:rsidRDefault="00A6048E">
      <w:pPr>
        <w:spacing w:after="80"/>
        <w:rPr>
          <w:sz w:val="18"/>
          <w:szCs w:val="18"/>
        </w:rPr>
      </w:pPr>
    </w:p>
    <w:p w14:paraId="451880DA" w14:textId="77777777" w:rsidR="00A6048E" w:rsidRPr="00251474" w:rsidRDefault="00000000">
      <w:pPr>
        <w:pStyle w:val="Heading1"/>
        <w:pBdr>
          <w:bottom w:val="single" w:sz="6" w:space="2" w:color="1F3864"/>
        </w:pBdr>
        <w:spacing w:before="220" w:after="100"/>
        <w:rPr>
          <w:sz w:val="28"/>
          <w:szCs w:val="28"/>
        </w:rPr>
      </w:pPr>
      <w:r w:rsidRPr="00251474">
        <w:rPr>
          <w:rFonts w:ascii="Calibri" w:eastAsia="Calibri" w:hAnsi="Calibri" w:cs="Calibri"/>
          <w:b/>
          <w:bCs/>
          <w:color w:val="1F3864"/>
          <w:sz w:val="24"/>
          <w:szCs w:val="24"/>
        </w:rPr>
        <w:t>Executive Summary</w:t>
      </w:r>
    </w:p>
    <w:p w14:paraId="5813FF57" w14:textId="77777777" w:rsidR="00A6048E" w:rsidRPr="00251474" w:rsidRDefault="00000000">
      <w:pPr>
        <w:spacing w:after="120"/>
        <w:rPr>
          <w:sz w:val="18"/>
          <w:szCs w:val="18"/>
        </w:rPr>
      </w:pPr>
      <w:proofErr w:type="spellStart"/>
      <w:r w:rsidRPr="00251474">
        <w:rPr>
          <w:rFonts w:ascii="Calibri" w:eastAsia="Calibri" w:hAnsi="Calibri" w:cs="Calibri"/>
          <w:sz w:val="18"/>
          <w:szCs w:val="18"/>
        </w:rPr>
        <w:t>Albatrozz</w:t>
      </w:r>
      <w:proofErr w:type="spellEnd"/>
      <w:r w:rsidRPr="00251474">
        <w:rPr>
          <w:rFonts w:ascii="Calibri" w:eastAsia="Calibri" w:hAnsi="Calibri" w:cs="Calibri"/>
          <w:sz w:val="18"/>
          <w:szCs w:val="18"/>
        </w:rPr>
        <w:t xml:space="preserve"> Apparel was a self-funded, solo-run e-commerce apparel venture I built from 2022 to 2024. Year-over-year, ad spend fell 23%, orders fell 14%, and revenue fell 22% — on the surface, a simple story of "spend less, sell less." It isn't. Cost-per-acquisition actually improved by 9% year-over-year, meaning the paid-acquisition engine got MORE efficient, not less. The real driver was structural: the repeat purchase rate — the business's only source of revenue not dependent on fresh ad spend — collapsed from a peak of 20% to just 9% within the second year, coinciding with a catalog that kept expanding instead of consolidating around what was working. When I had to cut spend post-graduation, the business had no retention cushion left to absorb it.</w:t>
      </w:r>
    </w:p>
    <w:p w14:paraId="123785C6" w14:textId="77777777" w:rsidR="00A6048E" w:rsidRPr="00251474" w:rsidRDefault="00000000">
      <w:pPr>
        <w:pStyle w:val="Heading1"/>
        <w:pBdr>
          <w:bottom w:val="single" w:sz="6" w:space="2" w:color="1F3864"/>
        </w:pBdr>
        <w:spacing w:before="220" w:after="100"/>
        <w:rPr>
          <w:sz w:val="28"/>
          <w:szCs w:val="28"/>
        </w:rPr>
      </w:pPr>
      <w:r w:rsidRPr="00251474">
        <w:rPr>
          <w:rFonts w:ascii="Calibri" w:eastAsia="Calibri" w:hAnsi="Calibri" w:cs="Calibri"/>
          <w:b/>
          <w:bCs/>
          <w:color w:val="1F3864"/>
          <w:sz w:val="24"/>
          <w:szCs w:val="24"/>
        </w:rPr>
        <w:t>Background</w:t>
      </w:r>
    </w:p>
    <w:p w14:paraId="7713B63F" w14:textId="77777777" w:rsidR="00A6048E" w:rsidRPr="00251474" w:rsidRDefault="00000000">
      <w:pPr>
        <w:spacing w:after="120"/>
        <w:rPr>
          <w:sz w:val="18"/>
          <w:szCs w:val="18"/>
        </w:rPr>
      </w:pPr>
      <w:r w:rsidRPr="00251474">
        <w:rPr>
          <w:rFonts w:ascii="Calibri" w:eastAsia="Calibri" w:hAnsi="Calibri" w:cs="Calibri"/>
          <w:sz w:val="18"/>
          <w:szCs w:val="18"/>
        </w:rPr>
        <w:t xml:space="preserve">I built and ran </w:t>
      </w:r>
      <w:proofErr w:type="spellStart"/>
      <w:r w:rsidRPr="00251474">
        <w:rPr>
          <w:rFonts w:ascii="Calibri" w:eastAsia="Calibri" w:hAnsi="Calibri" w:cs="Calibri"/>
          <w:sz w:val="18"/>
          <w:szCs w:val="18"/>
        </w:rPr>
        <w:t>Albatrozz</w:t>
      </w:r>
      <w:proofErr w:type="spellEnd"/>
      <w:r w:rsidRPr="00251474">
        <w:rPr>
          <w:rFonts w:ascii="Calibri" w:eastAsia="Calibri" w:hAnsi="Calibri" w:cs="Calibri"/>
          <w:sz w:val="18"/>
          <w:szCs w:val="18"/>
        </w:rPr>
        <w:t xml:space="preserve"> end-to-end — sourcing, Shopify storefront, Meta ad campaigns, and operations — for two years alongside my studies. After graduating, I wound it down: it needed either more capital or more time than I could give it while transitioning into a structured career. This document is my own retrospective analysis of the business's data, applying the same diagnostic approach a Business Analyst would apply to a client's operations.</w:t>
      </w:r>
    </w:p>
    <w:p w14:paraId="4A438D5E" w14:textId="77777777" w:rsidR="00A6048E" w:rsidRPr="00251474" w:rsidRDefault="00000000">
      <w:pPr>
        <w:pStyle w:val="Heading1"/>
        <w:pBdr>
          <w:bottom w:val="single" w:sz="6" w:space="2" w:color="1F3864"/>
        </w:pBdr>
        <w:spacing w:before="220" w:after="100"/>
        <w:rPr>
          <w:sz w:val="28"/>
          <w:szCs w:val="28"/>
        </w:rPr>
      </w:pPr>
      <w:r w:rsidRPr="00251474">
        <w:rPr>
          <w:rFonts w:ascii="Calibri" w:eastAsia="Calibri" w:hAnsi="Calibri" w:cs="Calibri"/>
          <w:b/>
          <w:bCs/>
          <w:color w:val="1F3864"/>
          <w:sz w:val="24"/>
          <w:szCs w:val="24"/>
        </w:rPr>
        <w:t>Data &amp; Methodology</w:t>
      </w:r>
    </w:p>
    <w:p w14:paraId="1C931A01" w14:textId="77777777" w:rsidR="00A6048E" w:rsidRPr="00251474" w:rsidRDefault="00000000">
      <w:pPr>
        <w:spacing w:after="120"/>
        <w:rPr>
          <w:sz w:val="18"/>
          <w:szCs w:val="18"/>
        </w:rPr>
      </w:pPr>
      <w:proofErr w:type="spellStart"/>
      <w:r w:rsidRPr="00251474">
        <w:rPr>
          <w:rFonts w:ascii="Calibri" w:eastAsia="Calibri" w:hAnsi="Calibri" w:cs="Calibri"/>
          <w:sz w:val="18"/>
          <w:szCs w:val="18"/>
        </w:rPr>
        <w:t>Albatrozz</w:t>
      </w:r>
      <w:proofErr w:type="spellEnd"/>
      <w:r w:rsidRPr="00251474">
        <w:rPr>
          <w:rFonts w:ascii="Calibri" w:eastAsia="Calibri" w:hAnsi="Calibri" w:cs="Calibri"/>
          <w:sz w:val="18"/>
          <w:szCs w:val="18"/>
        </w:rPr>
        <w:t xml:space="preserve"> did not retain formal Shopify/Meta Ads exports after closing. The monthly figures behind this analysis are reconstructed from my own operating recollection, calibrated to the real totals I remember — order volume, pricing, and ad spend ranges I tracked while running the business. I'm disclosing this openly: the value of this analysis is in the patterns it reveals, not in any single precise figure.</w:t>
      </w:r>
    </w:p>
    <w:p w14:paraId="52595D72" w14:textId="77777777" w:rsidR="00A6048E" w:rsidRPr="00251474" w:rsidRDefault="00000000">
      <w:pPr>
        <w:pStyle w:val="Heading1"/>
        <w:pBdr>
          <w:bottom w:val="single" w:sz="6" w:space="2" w:color="1F3864"/>
        </w:pBdr>
        <w:spacing w:before="220" w:after="100"/>
        <w:rPr>
          <w:sz w:val="28"/>
          <w:szCs w:val="28"/>
        </w:rPr>
      </w:pPr>
      <w:r w:rsidRPr="00251474">
        <w:rPr>
          <w:rFonts w:ascii="Calibri" w:eastAsia="Calibri" w:hAnsi="Calibri" w:cs="Calibri"/>
          <w:b/>
          <w:bCs/>
          <w:color w:val="1F3864"/>
          <w:sz w:val="24"/>
          <w:szCs w:val="24"/>
        </w:rPr>
        <w:t>Finding 1: The Obvious Explanation Is Wrong</w:t>
      </w:r>
    </w:p>
    <w:p w14:paraId="4962CA63" w14:textId="77777777" w:rsidR="00A6048E" w:rsidRPr="00251474" w:rsidRDefault="00000000">
      <w:pPr>
        <w:spacing w:after="120"/>
        <w:rPr>
          <w:sz w:val="18"/>
          <w:szCs w:val="18"/>
        </w:rPr>
      </w:pPr>
      <w:r w:rsidRPr="00251474">
        <w:rPr>
          <w:rFonts w:ascii="Calibri" w:eastAsia="Calibri" w:hAnsi="Calibri" w:cs="Calibri"/>
          <w:sz w:val="18"/>
          <w:szCs w:val="18"/>
        </w:rPr>
        <w:t>Ad spend fell 23.4% year-over-year (₹1,11,000 → ₹85,000). If acquisition had simply gotten less efficient, orders should have fallen by roughly the same proportion. Instead, orders fell only 13.9% (505 → 435) — a smaller drop than the spend cut. And weighted cost-per-acquisition actually improved, from ₹254 to ₹230 per new customer. The ad engine wasn't the problem; something was partially cushioning the impact of reduced spend.</w:t>
      </w:r>
    </w:p>
    <w:p w14:paraId="6DFB07FC" w14:textId="77777777" w:rsidR="00A6048E" w:rsidRPr="00251474" w:rsidRDefault="00000000">
      <w:pPr>
        <w:pStyle w:val="Heading1"/>
        <w:pBdr>
          <w:bottom w:val="single" w:sz="6" w:space="2" w:color="1F3864"/>
        </w:pBdr>
        <w:spacing w:before="220" w:after="100"/>
        <w:rPr>
          <w:sz w:val="28"/>
          <w:szCs w:val="28"/>
        </w:rPr>
      </w:pPr>
      <w:r w:rsidRPr="00251474">
        <w:rPr>
          <w:rFonts w:ascii="Calibri" w:eastAsia="Calibri" w:hAnsi="Calibri" w:cs="Calibri"/>
          <w:b/>
          <w:bCs/>
          <w:color w:val="1F3864"/>
          <w:sz w:val="24"/>
          <w:szCs w:val="24"/>
        </w:rPr>
        <w:t>Finding 2: The Real Vulnerability Was a Thinning Retention Base</w:t>
      </w:r>
    </w:p>
    <w:p w14:paraId="526E4E73" w14:textId="77777777" w:rsidR="00A6048E" w:rsidRPr="00251474" w:rsidRDefault="00000000">
      <w:pPr>
        <w:spacing w:after="120"/>
        <w:rPr>
          <w:sz w:val="18"/>
          <w:szCs w:val="18"/>
        </w:rPr>
      </w:pPr>
      <w:r w:rsidRPr="00251474">
        <w:rPr>
          <w:rFonts w:ascii="Calibri" w:eastAsia="Calibri" w:hAnsi="Calibri" w:cs="Calibri"/>
          <w:sz w:val="18"/>
          <w:szCs w:val="18"/>
        </w:rPr>
        <w:t>The monthly repeat purchase rate peaked at 20% in February 2023, then eroded steadily to 9% by February 2024 — an 11-point decline within the second year alone, while ad spend was still active for most of it. Over the same window, the active product catalog grew from 12 to a peak of 19 SKUs. The mechanism: a constantly-expanding, constantly-changing catalog gave one-time buyers less reason — and less consistent product availability — to purchase again. By the time spend actually had to be cut, the repeat-customer cushion that could have absorbed that cut had already eroded to its weakest point across the entire 24 months.</w:t>
      </w:r>
    </w:p>
    <w:p w14:paraId="6CC46E03" w14:textId="77777777" w:rsidR="00A6048E" w:rsidRPr="00251474" w:rsidRDefault="00000000">
      <w:pPr>
        <w:pStyle w:val="Heading1"/>
        <w:pBdr>
          <w:bottom w:val="single" w:sz="6" w:space="2" w:color="1F3864"/>
        </w:pBdr>
        <w:spacing w:before="220" w:after="100"/>
        <w:rPr>
          <w:sz w:val="28"/>
          <w:szCs w:val="28"/>
        </w:rPr>
      </w:pPr>
      <w:r w:rsidRPr="00251474">
        <w:rPr>
          <w:rFonts w:ascii="Calibri" w:eastAsia="Calibri" w:hAnsi="Calibri" w:cs="Calibri"/>
          <w:b/>
          <w:bCs/>
          <w:color w:val="1F3864"/>
          <w:sz w:val="24"/>
          <w:szCs w:val="24"/>
        </w:rPr>
        <w:t>Bottom Line</w:t>
      </w:r>
    </w:p>
    <w:p w14:paraId="46BD59EF" w14:textId="77777777" w:rsidR="00A6048E" w:rsidRPr="00251474" w:rsidRDefault="00000000">
      <w:pPr>
        <w:spacing w:after="120"/>
        <w:rPr>
          <w:sz w:val="18"/>
          <w:szCs w:val="18"/>
        </w:rPr>
      </w:pPr>
      <w:r w:rsidRPr="00251474">
        <w:rPr>
          <w:rFonts w:ascii="Calibri" w:eastAsia="Calibri" w:hAnsi="Calibri" w:cs="Calibri"/>
          <w:sz w:val="18"/>
          <w:szCs w:val="18"/>
        </w:rPr>
        <w:t>This wasn't a story of ads stopping working. It was a business with no structural cushion against its own founder's bandwidth running out — and that cushion was being quietly undermined by catalog sprawl months before the capital constraint actually hit. The revenue decline had two separable causes: one deliberate and controllable (the spend cut), one structural and slower-moving (eroding retention) — and only the second one was actually within my control to have prevented.</w:t>
      </w:r>
    </w:p>
    <w:p w14:paraId="692FEE94" w14:textId="77777777" w:rsidR="00A6048E" w:rsidRPr="00251474" w:rsidRDefault="00000000">
      <w:pPr>
        <w:pStyle w:val="Heading1"/>
        <w:pBdr>
          <w:bottom w:val="single" w:sz="6" w:space="2" w:color="1F3864"/>
        </w:pBdr>
        <w:spacing w:before="220" w:after="100"/>
        <w:rPr>
          <w:sz w:val="28"/>
          <w:szCs w:val="28"/>
        </w:rPr>
      </w:pPr>
      <w:r w:rsidRPr="00251474">
        <w:rPr>
          <w:rFonts w:ascii="Calibri" w:eastAsia="Calibri" w:hAnsi="Calibri" w:cs="Calibri"/>
          <w:b/>
          <w:bCs/>
          <w:color w:val="1F3864"/>
          <w:sz w:val="24"/>
          <w:szCs w:val="24"/>
        </w:rPr>
        <w:t>What I'd Do Differently</w:t>
      </w:r>
    </w:p>
    <w:p w14:paraId="6EE08BEA" w14:textId="77777777" w:rsidR="00A6048E" w:rsidRPr="00251474" w:rsidRDefault="00000000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251474">
        <w:rPr>
          <w:rFonts w:ascii="Calibri" w:eastAsia="Calibri" w:hAnsi="Calibri" w:cs="Calibri"/>
          <w:sz w:val="18"/>
          <w:szCs w:val="18"/>
        </w:rPr>
        <w:t>Narrow the catalog to 3–5 proven SKUs once early data identified winners, instead of continuously testing new products — trading short-term novelty for a durable repeat-purchase base.</w:t>
      </w:r>
    </w:p>
    <w:p w14:paraId="37647C48" w14:textId="77777777" w:rsidR="00A6048E" w:rsidRPr="00251474" w:rsidRDefault="00000000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251474">
        <w:rPr>
          <w:rFonts w:ascii="Calibri" w:eastAsia="Calibri" w:hAnsi="Calibri" w:cs="Calibri"/>
          <w:sz w:val="18"/>
          <w:szCs w:val="18"/>
        </w:rPr>
        <w:t>Build a retention mechanism (remarketing to past buyers, a repeat-purchase discount) before ad spend became constrained, not after — the cushion needs to exist ahead of the shock, not during it.</w:t>
      </w:r>
    </w:p>
    <w:p w14:paraId="25009BC4" w14:textId="77777777" w:rsidR="00A6048E" w:rsidRPr="00251474" w:rsidRDefault="00000000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251474">
        <w:rPr>
          <w:rFonts w:ascii="Calibri" w:eastAsia="Calibri" w:hAnsi="Calibri" w:cs="Calibri"/>
          <w:sz w:val="18"/>
          <w:szCs w:val="18"/>
        </w:rPr>
        <w:t>Track repeat rate and CAC monthly while running the business — the erosion was visible in the underlying pattern months before it showed up in topline revenue.</w:t>
      </w:r>
    </w:p>
    <w:p w14:paraId="21604CD6" w14:textId="3C21937B" w:rsidR="00A6048E" w:rsidRPr="00251474" w:rsidRDefault="00A6048E">
      <w:pPr>
        <w:pBdr>
          <w:top w:val="single" w:sz="4" w:space="8" w:color="BFBFBF"/>
        </w:pBdr>
        <w:spacing w:before="160"/>
        <w:rPr>
          <w:sz w:val="16"/>
          <w:szCs w:val="16"/>
        </w:rPr>
      </w:pPr>
    </w:p>
    <w:sectPr w:rsidR="00A6048E" w:rsidRPr="00251474">
      <w:pgSz w:w="12240" w:h="15840"/>
      <w:pgMar w:top="620" w:right="850" w:bottom="6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718D"/>
    <w:multiLevelType w:val="hybridMultilevel"/>
    <w:tmpl w:val="EDC0685E"/>
    <w:lvl w:ilvl="0" w:tplc="54ACBBF4">
      <w:start w:val="1"/>
      <w:numFmt w:val="bullet"/>
      <w:lvlText w:val="•"/>
      <w:lvlJc w:val="left"/>
      <w:pPr>
        <w:ind w:left="360" w:hanging="259"/>
      </w:pPr>
    </w:lvl>
    <w:lvl w:ilvl="1" w:tplc="39B06C1E">
      <w:numFmt w:val="decimal"/>
      <w:lvlText w:val=""/>
      <w:lvlJc w:val="left"/>
    </w:lvl>
    <w:lvl w:ilvl="2" w:tplc="537C37D2">
      <w:numFmt w:val="decimal"/>
      <w:lvlText w:val=""/>
      <w:lvlJc w:val="left"/>
    </w:lvl>
    <w:lvl w:ilvl="3" w:tplc="DB2485A8">
      <w:numFmt w:val="decimal"/>
      <w:lvlText w:val=""/>
      <w:lvlJc w:val="left"/>
    </w:lvl>
    <w:lvl w:ilvl="4" w:tplc="E7486A74">
      <w:numFmt w:val="decimal"/>
      <w:lvlText w:val=""/>
      <w:lvlJc w:val="left"/>
    </w:lvl>
    <w:lvl w:ilvl="5" w:tplc="4CE209EC">
      <w:numFmt w:val="decimal"/>
      <w:lvlText w:val=""/>
      <w:lvlJc w:val="left"/>
    </w:lvl>
    <w:lvl w:ilvl="6" w:tplc="E7A2BA66">
      <w:numFmt w:val="decimal"/>
      <w:lvlText w:val=""/>
      <w:lvlJc w:val="left"/>
    </w:lvl>
    <w:lvl w:ilvl="7" w:tplc="5BCE4116">
      <w:numFmt w:val="decimal"/>
      <w:lvlText w:val=""/>
      <w:lvlJc w:val="left"/>
    </w:lvl>
    <w:lvl w:ilvl="8" w:tplc="7152C28E">
      <w:numFmt w:val="decimal"/>
      <w:lvlText w:val=""/>
      <w:lvlJc w:val="left"/>
    </w:lvl>
  </w:abstractNum>
  <w:abstractNum w:abstractNumId="1" w15:restartNumberingAfterBreak="0">
    <w:nsid w:val="176821C9"/>
    <w:multiLevelType w:val="hybridMultilevel"/>
    <w:tmpl w:val="0D7A6936"/>
    <w:lvl w:ilvl="0" w:tplc="92CC0202">
      <w:start w:val="1"/>
      <w:numFmt w:val="bullet"/>
      <w:lvlText w:val="●"/>
      <w:lvlJc w:val="left"/>
      <w:pPr>
        <w:ind w:left="720" w:hanging="360"/>
      </w:pPr>
    </w:lvl>
    <w:lvl w:ilvl="1" w:tplc="74821FD0">
      <w:start w:val="1"/>
      <w:numFmt w:val="bullet"/>
      <w:lvlText w:val="○"/>
      <w:lvlJc w:val="left"/>
      <w:pPr>
        <w:ind w:left="1440" w:hanging="360"/>
      </w:pPr>
    </w:lvl>
    <w:lvl w:ilvl="2" w:tplc="D60AB95A">
      <w:start w:val="1"/>
      <w:numFmt w:val="bullet"/>
      <w:lvlText w:val="■"/>
      <w:lvlJc w:val="left"/>
      <w:pPr>
        <w:ind w:left="2160" w:hanging="360"/>
      </w:pPr>
    </w:lvl>
    <w:lvl w:ilvl="3" w:tplc="482C5426">
      <w:start w:val="1"/>
      <w:numFmt w:val="bullet"/>
      <w:lvlText w:val="●"/>
      <w:lvlJc w:val="left"/>
      <w:pPr>
        <w:ind w:left="2880" w:hanging="360"/>
      </w:pPr>
    </w:lvl>
    <w:lvl w:ilvl="4" w:tplc="9B5CA98E">
      <w:start w:val="1"/>
      <w:numFmt w:val="bullet"/>
      <w:lvlText w:val="○"/>
      <w:lvlJc w:val="left"/>
      <w:pPr>
        <w:ind w:left="3600" w:hanging="360"/>
      </w:pPr>
    </w:lvl>
    <w:lvl w:ilvl="5" w:tplc="5EECFE8A">
      <w:start w:val="1"/>
      <w:numFmt w:val="bullet"/>
      <w:lvlText w:val="■"/>
      <w:lvlJc w:val="left"/>
      <w:pPr>
        <w:ind w:left="4320" w:hanging="360"/>
      </w:pPr>
    </w:lvl>
    <w:lvl w:ilvl="6" w:tplc="B388FE20">
      <w:start w:val="1"/>
      <w:numFmt w:val="bullet"/>
      <w:lvlText w:val="●"/>
      <w:lvlJc w:val="left"/>
      <w:pPr>
        <w:ind w:left="5040" w:hanging="360"/>
      </w:pPr>
    </w:lvl>
    <w:lvl w:ilvl="7" w:tplc="99D87ACC">
      <w:start w:val="1"/>
      <w:numFmt w:val="bullet"/>
      <w:lvlText w:val="●"/>
      <w:lvlJc w:val="left"/>
      <w:pPr>
        <w:ind w:left="5760" w:hanging="360"/>
      </w:pPr>
    </w:lvl>
    <w:lvl w:ilvl="8" w:tplc="7818A64E">
      <w:start w:val="1"/>
      <w:numFmt w:val="bullet"/>
      <w:lvlText w:val="●"/>
      <w:lvlJc w:val="left"/>
      <w:pPr>
        <w:ind w:left="6480" w:hanging="360"/>
      </w:pPr>
    </w:lvl>
  </w:abstractNum>
  <w:num w:numId="1" w16cid:durableId="1134980911">
    <w:abstractNumId w:val="1"/>
    <w:lvlOverride w:ilvl="0">
      <w:startOverride w:val="1"/>
    </w:lvlOverride>
  </w:num>
  <w:num w:numId="2" w16cid:durableId="537474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48E"/>
    <w:rsid w:val="001D6698"/>
    <w:rsid w:val="00251474"/>
    <w:rsid w:val="008A3451"/>
    <w:rsid w:val="00A6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5ED16"/>
  <w15:docId w15:val="{72775560-A0B5-4061-8B0E-2D2C3F39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Srajan Choudhary</cp:lastModifiedBy>
  <cp:revision>3</cp:revision>
  <dcterms:created xsi:type="dcterms:W3CDTF">2026-07-15T06:29:00Z</dcterms:created>
  <dcterms:modified xsi:type="dcterms:W3CDTF">2026-08-08T05:37:00Z</dcterms:modified>
</cp:coreProperties>
</file>