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E486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The review of the AWS Connect contact flow implementation (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cfAccountStatus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) against the proposed design requirement (Mermaid flowchart) shows that while the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business logic is implemented, there are significant structural and architectural deviations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in how data routing, branch decisions, and sub-flows are handled.</w:t>
      </w:r>
    </w:p>
    <w:p w14:paraId="0819D4CE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pict w14:anchorId="41047309">
          <v:rect id="_x0000_i1025" style="width:0;height:.75pt" o:hralign="center" o:hrstd="t" o:hr="t" fillcolor="#a0a0a0" stroked="f"/>
        </w:pict>
      </w:r>
    </w:p>
    <w:p w14:paraId="62059A82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Key Structural Differences and Discrepancies</w:t>
      </w:r>
    </w:p>
    <w:p w14:paraId="0C05457F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Agency Routing Architecture (Dynamic vs. Explicit)</w:t>
      </w:r>
    </w:p>
    <w:p w14:paraId="4147CB90" w14:textId="77777777" w:rsidR="00DD0BD9" w:rsidRPr="00DD0BD9" w:rsidRDefault="00DD0BD9" w:rsidP="00DD0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Mermaid flow specifies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hardcoded routes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for 6 distinct agencies (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AIC005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CBVDS1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CBVDS2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MCA001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LGL001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TSI001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 branching to unique external transfer nodes and queues.</w:t>
      </w:r>
    </w:p>
    <w:p w14:paraId="7A593684" w14:textId="77777777" w:rsidR="00DD0BD9" w:rsidRPr="00DD0BD9" w:rsidRDefault="00DD0BD9" w:rsidP="00DD0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Implementation: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contact flow implements this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dynamically using an Amazon Connect Data Table Lookup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Fetch Agency Code Config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querying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dtAgencyCodeConfig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). It fetches dynamic variables (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externalNumber1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externalNumber2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isActive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) and uses a conditional branch based on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provinceCode</w:t>
      </w:r>
      <w:proofErr w:type="spell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== 'QC'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to decide whether to set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externalNumber1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externalNumber2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as the target destination queue.</w:t>
      </w:r>
    </w:p>
    <w:p w14:paraId="4B8D52AC" w14:textId="77777777" w:rsidR="00DD0BD9" w:rsidRPr="00DD0BD9" w:rsidRDefault="00DD0BD9" w:rsidP="00DD0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implementation is cleaner and more scalable than the </w:t>
      </w:r>
      <w:proofErr w:type="gramStart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design, but</w:t>
      </w:r>
      <w:proofErr w:type="gram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a new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provinceCode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routing layer not documented in your design flow.</w:t>
      </w:r>
    </w:p>
    <w:p w14:paraId="07A97FE8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Flow Modularization &amp; Sub-Flow Offloading</w:t>
      </w:r>
    </w:p>
    <w:p w14:paraId="0C9C9E95" w14:textId="77777777" w:rsidR="00DD0BD9" w:rsidRPr="00DD0BD9" w:rsidRDefault="00DD0BD9" w:rsidP="00DD0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design assumes that the entire lifecycle (including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Activation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Pre-Menu Option Handling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 resides inside a single unified flowchart.</w:t>
      </w:r>
    </w:p>
    <w:p w14:paraId="6F7C6F8D" w14:textId="77777777" w:rsidR="00DD0BD9" w:rsidRPr="00DD0BD9" w:rsidRDefault="00DD0BD9" w:rsidP="00DD0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Implementation: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contact flow handles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and Pre-Menu logic by transferring the user to an independent sub-flow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called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cfActivateCard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0619F" w14:textId="77777777" w:rsidR="00DD0BD9" w:rsidRPr="00DD0BD9" w:rsidRDefault="00DD0BD9" w:rsidP="00DD0B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In the JSON, both skipping the past-due payment arrangement (Press 2) and matching a non-past-due account status (</w:t>
      </w:r>
      <w:proofErr w:type="spellStart"/>
      <w:proofErr w:type="gram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pastDue</w:t>
      </w:r>
      <w:proofErr w:type="spell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!</w:t>
      </w:r>
      <w:proofErr w:type="gram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= YES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) invoke a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TransferToFlow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block targeting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cfActivateCard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DCBBB" w14:textId="77777777" w:rsidR="00DD0BD9" w:rsidRPr="00DD0BD9" w:rsidRDefault="00DD0BD9" w:rsidP="00DD0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This is an industry-standard practice for cleanliness, meaning the activation results and pre-menu logic are handled within that separate sub-flow configuration instead of here.</w:t>
      </w:r>
    </w:p>
    <w:p w14:paraId="29BD9CE7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Error Handling and Queue Routing Names</w:t>
      </w:r>
    </w:p>
    <w:p w14:paraId="6A3906D5" w14:textId="77777777" w:rsidR="00DD0BD9" w:rsidRPr="00DD0BD9" w:rsidRDefault="00DD0BD9" w:rsidP="00DD0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design maps the initial lookup failure directly to a single block: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QueueName</w:t>
      </w:r>
      <w:proofErr w:type="spell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= CSR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C80D12" w14:textId="77777777" w:rsidR="00DD0BD9" w:rsidRPr="00DD0BD9" w:rsidRDefault="00DD0BD9" w:rsidP="00DD0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Implementation: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If an account isn't found or an error occurs during lookup, the flow routes to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92c6e0d6-f1cf-4bfa-8455-d036f55685fd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which sets the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queueName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attribute to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CSR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. However, it then targets an Amazon Connect transfer flow called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lastRenderedPageBreak/>
        <w:t>cfQueueConfig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(aliased as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Transfer to Fraud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Transfer to Queue Config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in different error branches) to execute the actual routing.</w:t>
      </w:r>
    </w:p>
    <w:p w14:paraId="1DAA3067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Account Lookup Details</w:t>
      </w:r>
    </w:p>
    <w:p w14:paraId="250F9020" w14:textId="77777777" w:rsidR="00DD0BD9" w:rsidRPr="00DD0BD9" w:rsidRDefault="00DD0BD9" w:rsidP="00DD0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Standard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AccountLookup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block checks the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#phoneNo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8D1A6" w14:textId="77777777" w:rsidR="00DD0BD9" w:rsidRPr="00DD0BD9" w:rsidRDefault="00DD0BD9" w:rsidP="00DD0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Implementation: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JSON shows a hybrid approach. It first calls a Lambda parameter check (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GetSsmParams</w:t>
      </w:r>
      <w:proofErr w:type="spell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-function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 to see if an account session is already active (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isAccountFound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). If not found, it drops down into an explicit Contact Flow Module named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moRBAccountLookup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2FA5B9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pict w14:anchorId="62BDF0BE">
          <v:rect id="_x0000_i1026" style="width:0;height:.75pt" o:hralign="center" o:hrstd="t" o:hr="t" fillcolor="#a0a0a0" stroked="f"/>
        </w:pict>
      </w:r>
    </w:p>
    <w:p w14:paraId="0EF56A93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Verification Mapping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047"/>
        <w:gridCol w:w="4451"/>
        <w:gridCol w:w="1429"/>
      </w:tblGrid>
      <w:tr w:rsidR="00DD0BD9" w:rsidRPr="00DD0BD9" w14:paraId="163D91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63E00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Flow 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57379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Design Path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BAAF7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JSON Implementation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AC6E7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Alignment Note</w:t>
            </w:r>
          </w:p>
        </w:tc>
      </w:tr>
      <w:tr w:rsidR="00DD0BD9" w:rsidRPr="00DD0BD9" w14:paraId="484C25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FC92E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Fraud Routing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5C3C7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Status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SF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Queue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FRD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46982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block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queue Fraud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setting </w:t>
            </w:r>
            <w:proofErr w:type="spellStart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queueName</w:t>
            </w:r>
            <w:proofErr w:type="spellEnd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 xml:space="preserve"> = FRD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06D42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Aligned</w:t>
            </w:r>
          </w:p>
        </w:tc>
      </w:tr>
      <w:tr w:rsidR="00DD0BD9" w:rsidRPr="00DD0BD9" w14:paraId="7EEC77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935EC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Past Due Check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66A42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Checked if Agency is 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769C6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Conditional check </w:t>
            </w:r>
            <w:proofErr w:type="spellStart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pastDue</w:t>
            </w:r>
            <w:proofErr w:type="spellEnd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 xml:space="preserve"> == YES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1BE41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Aligned</w:t>
            </w:r>
          </w:p>
        </w:tc>
      </w:tr>
      <w:tr w:rsidR="00DD0BD9" w:rsidRPr="00DD0BD9" w14:paraId="4C753D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59E1F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Past Due Transfer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FEE3D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Press 1 →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888-241-7875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39856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Block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Gatestone Agency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sets </w:t>
            </w:r>
            <w:proofErr w:type="spellStart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queueName</w:t>
            </w:r>
            <w:proofErr w:type="spellEnd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 xml:space="preserve"> = +1888-241-7875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816F4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Aligned</w:t>
            </w:r>
          </w:p>
        </w:tc>
      </w:tr>
      <w:tr w:rsidR="00DD0BD9" w:rsidRPr="00DD0BD9" w14:paraId="32174D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271F1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Non-Primary Block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A08A9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Plays restriction message → Disconnect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B1AA2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Block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Not the primary card holder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plays prompt → </w:t>
            </w:r>
            <w:proofErr w:type="spellStart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DisconnectParticipant</w:t>
            </w:r>
            <w:proofErr w:type="spellEnd"/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96728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Aligned</w:t>
            </w:r>
          </w:p>
        </w:tc>
      </w:tr>
    </w:tbl>
    <w:p w14:paraId="42F6145F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pict w14:anchorId="2BC98603">
          <v:rect id="_x0000_i1027" style="width:0;height:.75pt" o:hralign="center" o:hrstd="t" o:hr="t" fillcolor="#a0a0a0" stroked="f"/>
        </w:pict>
      </w:r>
    </w:p>
    <w:p w14:paraId="75785B3F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Recommendations for Your Implementation</w:t>
      </w:r>
    </w:p>
    <w:p w14:paraId="25517ED1" w14:textId="77777777" w:rsidR="00DD0BD9" w:rsidRPr="00DD0BD9" w:rsidRDefault="00DD0BD9" w:rsidP="00DD0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Documentation: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Ensure your design charts reflect that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Province Code (QC vs. non-QC)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controls which dynamic agency number is selected.</w:t>
      </w:r>
    </w:p>
    <w:p w14:paraId="427AE660" w14:textId="77777777" w:rsidR="00DD0BD9" w:rsidRPr="00DD0BD9" w:rsidRDefault="00DD0BD9" w:rsidP="00DD0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Review </w:t>
      </w:r>
      <w:proofErr w:type="spellStart"/>
      <w:r w:rsidRPr="00DD0BD9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cfActivateCard</w:t>
      </w:r>
      <w:proofErr w:type="spellEnd"/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Ensure that the destination flow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cfActivateCard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correctly matches the final third of your design requirements (handling activation outcomes and options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0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E4D187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create an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Markdown or Mermaid diagram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that fully details the hidden logic (such as the Province Code routing and sub-flow handoffs) discovered in the JSON script?</w:t>
      </w:r>
    </w:p>
    <w:p w14:paraId="08473463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</w:p>
    <w:p w14:paraId="4FBE5A83" w14:textId="17A24CEF" w:rsidR="001638A6" w:rsidRPr="00935BAE" w:rsidRDefault="001638A6" w:rsidP="00935BAE"/>
    <w:sectPr w:rsidR="001638A6" w:rsidRPr="00935BAE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0067F" w14:textId="77777777" w:rsidR="007A5436" w:rsidRDefault="007A5436" w:rsidP="003E5F11">
      <w:pPr>
        <w:spacing w:after="0" w:line="240" w:lineRule="auto"/>
      </w:pPr>
      <w:r>
        <w:separator/>
      </w:r>
    </w:p>
  </w:endnote>
  <w:endnote w:type="continuationSeparator" w:id="0">
    <w:p w14:paraId="55CBCC28" w14:textId="77777777" w:rsidR="007A5436" w:rsidRDefault="007A5436" w:rsidP="003E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0CBEC" w14:textId="77777777" w:rsidR="007A5436" w:rsidRDefault="007A5436" w:rsidP="003E5F11">
      <w:pPr>
        <w:spacing w:after="0" w:line="240" w:lineRule="auto"/>
      </w:pPr>
      <w:r>
        <w:separator/>
      </w:r>
    </w:p>
  </w:footnote>
  <w:footnote w:type="continuationSeparator" w:id="0">
    <w:p w14:paraId="2D7BF5C8" w14:textId="77777777" w:rsidR="007A5436" w:rsidRDefault="007A5436" w:rsidP="003E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ABE6" w14:textId="4D7FC78C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173068" wp14:editId="0F4BAC5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68087172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78F50" w14:textId="38F1D01F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730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textbox style="mso-fit-shape-to-text:t" inset="20pt,15pt,0,0">
                <w:txbxContent>
                  <w:p w14:paraId="6D678F50" w14:textId="38F1D01F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3FB54" w14:textId="6DA35922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9F6C6E" wp14:editId="1352CCF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82362087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729C56" w14:textId="3AE44318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F6C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textbox style="mso-fit-shape-to-text:t" inset="20pt,15pt,0,0">
                <w:txbxContent>
                  <w:p w14:paraId="0F729C56" w14:textId="3AE44318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ADC4F" w14:textId="439C2855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C41B45" wp14:editId="73523AF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494027499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32BF2" w14:textId="42E997D0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41B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textbox style="mso-fit-shape-to-text:t" inset="20pt,15pt,0,0">
                <w:txbxContent>
                  <w:p w14:paraId="23F32BF2" w14:textId="42E997D0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103"/>
    <w:multiLevelType w:val="multilevel"/>
    <w:tmpl w:val="807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5790"/>
    <w:multiLevelType w:val="multilevel"/>
    <w:tmpl w:val="0C6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25340"/>
    <w:multiLevelType w:val="multilevel"/>
    <w:tmpl w:val="F30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F0DD6"/>
    <w:multiLevelType w:val="multilevel"/>
    <w:tmpl w:val="1C1C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C5C94"/>
    <w:multiLevelType w:val="multilevel"/>
    <w:tmpl w:val="AC1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080930">
    <w:abstractNumId w:val="0"/>
  </w:num>
  <w:num w:numId="2" w16cid:durableId="799105366">
    <w:abstractNumId w:val="3"/>
  </w:num>
  <w:num w:numId="3" w16cid:durableId="1919560256">
    <w:abstractNumId w:val="4"/>
  </w:num>
  <w:num w:numId="4" w16cid:durableId="1159542492">
    <w:abstractNumId w:val="1"/>
  </w:num>
  <w:num w:numId="5" w16cid:durableId="18004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11"/>
    <w:rsid w:val="001638A6"/>
    <w:rsid w:val="00354830"/>
    <w:rsid w:val="003E5F11"/>
    <w:rsid w:val="007A5436"/>
    <w:rsid w:val="00935BAE"/>
    <w:rsid w:val="00996717"/>
    <w:rsid w:val="00DD0BD9"/>
    <w:rsid w:val="00DE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A8AB"/>
  <w15:chartTrackingRefBased/>
  <w15:docId w15:val="{0F3CD23B-9AF4-4818-8C68-20FA27F2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F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3337</Characters>
  <Application>Microsoft Office Word</Application>
  <DocSecurity>0</DocSecurity>
  <Lines>95</Lines>
  <Paragraphs>48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 Shankaran - ERS, HCL Tech</dc:creator>
  <cp:keywords>HCLClassification=Confidential</cp:keywords>
  <dc:description/>
  <cp:lastModifiedBy>Ramasubramanian Shankaran - ERS, HCL Tech</cp:lastModifiedBy>
  <cp:revision>2</cp:revision>
  <dcterms:created xsi:type="dcterms:W3CDTF">2026-08-27T13:40:00Z</dcterms:created>
  <dcterms:modified xsi:type="dcterms:W3CDTF">2026-08-27T13:40:00Z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7062cc16-5204-421e-a4b1-851c583400b1</vt:lpwstr>
  </property>
  <property fmtid="{D5CDD505-2E9C-101B-9397-08002B2CF9AE}" pid="3" name="ClassificationContentMarkingHeaderShapeIds">
    <vt:lpwstr>590d0ceb,2895472d,6cb23f07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Classification: Internal</vt:lpwstr>
  </property>
  <property fmtid="{D5CDD505-2E9C-101B-9397-08002B2CF9AE}" pid="6" name="MSIP_Label_556dfe78-8a37-4fb5-b4aa-b92b97e18d15_Enabled">
    <vt:lpwstr>true</vt:lpwstr>
  </property>
  <property fmtid="{D5CDD505-2E9C-101B-9397-08002B2CF9AE}" pid="7" name="MSIP_Label_556dfe78-8a37-4fb5-b4aa-b92b97e18d15_SetDate">
    <vt:lpwstr>2026-08-27T13:34:54Z</vt:lpwstr>
  </property>
  <property fmtid="{D5CDD505-2E9C-101B-9397-08002B2CF9AE}" pid="8" name="MSIP_Label_556dfe78-8a37-4fb5-b4aa-b92b97e18d15_Method">
    <vt:lpwstr>Standard</vt:lpwstr>
  </property>
  <property fmtid="{D5CDD505-2E9C-101B-9397-08002B2CF9AE}" pid="9" name="MSIP_Label_556dfe78-8a37-4fb5-b4aa-b92b97e18d15_Name">
    <vt:lpwstr>Internal</vt:lpwstr>
  </property>
  <property fmtid="{D5CDD505-2E9C-101B-9397-08002B2CF9AE}" pid="10" name="MSIP_Label_556dfe78-8a37-4fb5-b4aa-b92b97e18d15_SiteId">
    <vt:lpwstr>189de737-c93a-4f5a-8b68-6f4ca9941912</vt:lpwstr>
  </property>
  <property fmtid="{D5CDD505-2E9C-101B-9397-08002B2CF9AE}" pid="11" name="MSIP_Label_556dfe78-8a37-4fb5-b4aa-b92b97e18d15_ActionId">
    <vt:lpwstr>c25e848a-feda-4238-8bb7-d13fbb0c2a35</vt:lpwstr>
  </property>
  <property fmtid="{D5CDD505-2E9C-101B-9397-08002B2CF9AE}" pid="12" name="MSIP_Label_556dfe78-8a37-4fb5-b4aa-b92b97e18d15_ContentBits">
    <vt:lpwstr>1</vt:lpwstr>
  </property>
  <property fmtid="{D5CDD505-2E9C-101B-9397-08002B2CF9AE}" pid="13" name="MSIP_Label_556dfe78-8a37-4fb5-b4aa-b92b97e18d15_Tag">
    <vt:lpwstr>10, 3, 0, 1</vt:lpwstr>
  </property>
  <property fmtid="{D5CDD505-2E9C-101B-9397-08002B2CF9AE}" pid="14" name="HCLClassD6">
    <vt:lpwstr>False</vt:lpwstr>
  </property>
  <property fmtid="{D5CDD505-2E9C-101B-9397-08002B2CF9AE}" pid="15" name="HCLClassification">
    <vt:lpwstr>HCL_Cla5s_C0nf1dent1al</vt:lpwstr>
  </property>
</Properties>
</file>