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0" w:firstLine="0"/>
        <w:contextualSpacing w:val="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Background/Vision Statement</w:t>
      </w:r>
    </w:p>
    <w:p w:rsidR="00000000" w:rsidDel="00000000" w:rsidP="00000000" w:rsidRDefault="00000000" w:rsidRPr="00000000" w14:paraId="00000001">
      <w:pPr>
        <w:ind w:left="0" w:firstLine="0"/>
        <w:contextualSpacing w:val="0"/>
        <w:rPr/>
      </w:pPr>
      <w:r w:rsidDel="00000000" w:rsidR="00000000" w:rsidRPr="00000000">
        <w:rPr>
          <w:rFonts w:ascii="Times New Roman" w:cs="Times New Roman" w:eastAsia="Times New Roman" w:hAnsi="Times New Roman"/>
          <w:color w:val="222222"/>
          <w:sz w:val="24"/>
          <w:szCs w:val="24"/>
          <w:highlight w:val="white"/>
          <w:rtl w:val="0"/>
        </w:rPr>
        <w:t xml:space="preserve">On the modern battlefield, the ability to deploy troops on the ground in a fast and efficient manner is important to ensuring your side has the tactical advantage. One critical step in deploying troops is using vehicles to deliver troops to the correct destination. Today’s technology allows for the use of computer vision and robotics to control different vehicles. These pilotless systems must be able to drive to the correct location without hitting each other, as well as handle navigation issues that may arise with loss of sight.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