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ClientIQ (Banking Client 360): Product &amp; Architecture Overview</w:t>
      </w:r>
    </w:p>
    <w:p>
      <w:pPr>
        <w:spacing w:after="80" w:before="40"/>
      </w:pPr>
      <w:r>
        <w:rPr>
          <w:i/>
          <w:iCs/>
        </w:rPr>
        <w:t xml:space="preserve">Last reviewed: 2026-07-01 · Source of truth: application code (ClientIQ / Banking Client 360).</w:t>
      </w:r>
    </w:p>
    <w:p>
      <w:pPr>
        <w:pStyle w:val="Heading2"/>
      </w:pPr>
      <w:r>
        <w:t xml:space="preserve">Purpose</w:t>
      </w:r>
    </w:p>
    <w:p>
      <w:pPr>
        <w:spacing w:after="80" w:before="40"/>
      </w:pPr>
      <w:r>
        <w:t xml:space="preserve">ClientIQ (also referred to as </w:t>
      </w:r>
      <w:r>
        <w:rPr>
          <w:b/>
          <w:bCs/>
        </w:rPr>
        <w:t xml:space="preserve">Banking Client 360</w:t>
      </w:r>
      <w:r>
        <w:t xml:space="preserve">) is an on-premises, enterprise customer-relationship platform for a financial institution. It gives banking staff a consolidated 360-degree view of a customer (profile, accounts, transactions, deposits and relationship analytics, household relationships, debit cards, and collaborative notes) behind role-based access control and SAML single sign-on.</w:t>
      </w:r>
    </w:p>
    <w:p>
      <w:pPr>
        <w:spacing w:after="80" w:before="40"/>
      </w:pPr>
      <w:r>
        <w:t xml:space="preserve">This document describes the application as it is actually built: a </w:t>
      </w:r>
      <w:r>
        <w:rPr>
          <w:b/>
          <w:bCs/>
        </w:rPr>
        <w:t xml:space="preserve">Microsoft SQL Server</w:t>
      </w:r>
      <w:r>
        <w:t xml:space="preserve">-backed React/Express app, deployed on Windows Servers via Azure DevOps, with a code-driven </w:t>
      </w:r>
      <w:r>
        <w:rPr>
          <w:b/>
          <w:bCs/>
        </w:rPr>
        <w:t xml:space="preserve">SAML + Active Directory</w:t>
      </w:r>
      <w:r>
        <w:t xml:space="preserve"> authentication and role-provisioning subsystem. It corrects earlier overviews that described a two-database platform, similarity-based fuzzy search, and a CI/CD governance framework that are not part of the running system.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Document owner, last-published date, and doc version.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package.json</w:t>
      </w:r>
      <w:r>
        <w:t xml:space="preserve"> version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1.0.0</w:t>
      </w:r>
      <w:r>
        <w:t xml:space="preserve">; treat the doc version as unconfirmed until a human sets it.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Core Features</w:t>
      </w:r>
    </w:p>
    <w:p>
      <w:pPr>
        <w:pStyle w:val="Heading3"/>
      </w:pPr>
      <w:r>
        <w:t xml:space="preserve">1. Customer Search &amp; Discovery</w:t>
      </w:r>
    </w:p>
    <w:p>
      <w:pPr>
        <w:spacing w:after="80" w:before="40"/>
      </w:pPr>
      <w:r>
        <w:t xml:space="preserve">A single unified search box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client/src/components/CustomerSearch.tsx</w:t>
      </w:r>
      <w:r>
        <w:t xml:space="preserve">, rendered in the header) queries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/api/customers/search</w:t>
      </w:r>
      <w:r>
        <w:t xml:space="preserve"> with a 250 ms debounce and groups results into three sections (</w:t>
      </w:r>
      <w:r>
        <w:rPr>
          <w:b/>
          <w:bCs/>
        </w:rPr>
        <w:t xml:space="preserve">Clients</w:t>
      </w:r>
      <w:r>
        <w:t xml:space="preserve">, </w:t>
      </w:r>
      <w:r>
        <w:rPr>
          <w:b/>
          <w:bCs/>
        </w:rPr>
        <w:t xml:space="preserve">Accounts</w:t>
      </w:r>
      <w:r>
        <w:t xml:space="preserve">, and </w:t>
      </w:r>
      <w:r>
        <w:rPr>
          <w:b/>
          <w:bCs/>
        </w:rPr>
        <w:t xml:space="preserve">Households</w:t>
      </w:r>
      <w:r>
        <w:t xml:space="preserve">), each with counts and keyboard navigation.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Multi-field matching</w:t>
      </w:r>
      <w:r>
        <w:t xml:space="preserve">: searches customer first/last name, business name, generated full name, tax identifier, Silverlake customer ID, and the concatenated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first + last</w:t>
      </w:r>
      <w:r>
        <w:t xml:space="preserve"> name.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Matching engine (production = SQL Server)</w:t>
      </w:r>
      <w:r>
        <w:t xml:space="preserve">: a </w:t>
      </w:r>
      <w:r>
        <w:rPr>
          <w:b/>
          <w:bCs/>
        </w:rPr>
        <w:t xml:space="preserve">case-insensitive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LIKE</w:t>
      </w:r>
      <w:r>
        <w:rPr>
          <w:b/>
          <w:bCs/>
        </w:rPr>
        <w:t xml:space="preserve"> substring</w:t>
      </w:r>
      <w:r>
        <w:t xml:space="preserve"> match using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COLLATE Latin1_General_CI_AS</w:t>
      </w:r>
      <w:r>
        <w:t xml:space="preserve">, implemented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server/storage/sqlServerCustomerSearch.ts:103-126</w:t>
      </w:r>
      <w:r>
        <w:t xml:space="preserve">. Search is substring containment; it is not similarity, phonetic, or full-text search. A query for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Smith</w:t>
      </w:r>
      <w:r>
        <w:t xml:space="preserve"> matches any record whose searched fields contain the literal substring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smith</w:t>
      </w:r>
      <w:r>
        <w:t xml:space="preserve"> (case-insensitive); it will not surface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Smyth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Balance-aware results</w:t>
      </w:r>
      <w:r>
        <w:t xml:space="preserve">: identifiers that expose balance data are withheld from a result row when the user lacks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account.view.balances</w:t>
      </w:r>
      <w:r>
        <w:t xml:space="preserve"> permission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CustomerSearch.tsx:133-136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Navigation</w:t>
      </w:r>
      <w:r>
        <w:t xml:space="preserve">: selecting a result routes to the client, account, or household view via URL query params.</w:t>
      </w:r>
    </w:p>
    <w:p>
      <w:pPr>
        <w:spacing w:after="60"/>
      </w:pPr>
    </w:p>
    <w:p>
      <w:pPr>
        <w:pStyle w:val="Heading3"/>
      </w:pPr>
      <w:r>
        <w:t xml:space="preserve">2. Customer Profile Management</w:t>
      </w:r>
    </w:p>
    <w:p>
      <w:pPr>
        <w:spacing w:after="80" w:before="40"/>
      </w:pPr>
      <w:r>
        <w:t xml:space="preserve">Customers use a polymorphic data model validated by a Zod discriminated union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customer_type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shared/schema.ts:907-929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Customer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Name requirement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individual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premium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regular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first_name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last_name</w:t>
            </w:r>
            <w:r>
              <w:t xml:space="preserve"> required;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business_name</w:t>
            </w:r>
            <w:r>
              <w:t xml:space="preserve"> forbidden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business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business_name</w:t>
            </w:r>
            <w:r>
              <w:t xml:space="preserve"> required; individual name fields forbidden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trust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business_name</w:t>
            </w:r>
            <w:r>
              <w:t xml:space="preserve"> required; individual name fields forbidden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A generated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full_name</w:t>
      </w:r>
      <w:r>
        <w:t xml:space="preserve"> column backs unified search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shared/schema.ts:114-115</w:t>
      </w:r>
      <w:r>
        <w:t xml:space="preserve">). The Client tab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CustomerOverview.tsx</w:t>
      </w:r>
      <w:r>
        <w:t xml:space="preserve">) surfaces name, status, VIP/employee/birthday/type chips, CIF number, branch, preferred name, date of birth, customer-since date, gender, and a </w:t>
      </w:r>
      <w:r>
        <w:rPr>
          <w:b/>
          <w:bCs/>
        </w:rPr>
        <w:t xml:space="preserve">masked</w:t>
      </w:r>
      <w:r>
        <w:t xml:space="preserve"> tax ID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XXX-XX-&lt;last4&gt;</w:t>
      </w:r>
      <w:r>
        <w:t xml:space="preserve">, applied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server/adapters/customerAdapter.ts</w:t>
      </w:r>
      <w:r>
        <w:t xml:space="preserve">). "View Full Details" opens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CustomerDetailModal</w:t>
      </w:r>
      <w:r>
        <w:t xml:space="preserve">, which fetches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/api/customers/:id/details</w:t>
      </w:r>
      <w:r>
        <w:t xml:space="preserve">. Contact information and officer assignments render alongside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ContactInformation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Officers</w:t>
      </w:r>
      <w:r>
        <w:t xml:space="preserve">.</w:t>
      </w:r>
    </w:p>
    <w:p>
      <w:pPr>
        <w:pStyle w:val="Heading3"/>
      </w:pPr>
      <w:r>
        <w:t xml:space="preserve">3. Account &amp; Relationship Summary</w:t>
      </w:r>
    </w:p>
    <w:p>
      <w:pPr>
        <w:spacing w:after="80" w:before="40"/>
      </w:pPr>
      <w:r>
        <w:t xml:space="preserve">The relationship-summary KPI band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client/src/components/Middle.tsx</w:t>
      </w:r>
      <w:r>
        <w:t xml:space="preserve">), gated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customer.view.relationship_summary</w:t>
      </w:r>
      <w:r>
        <w:t xml:space="preserve">, shows four cards (Total Deposits, Total Loans, Last Login, and Recent Contacts), each with a quarter-over-quarter (QoQ) change indicator. Deposits and loans are computed as independent QoQ series.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historical-comparison window used for QoQ (an earlier overview stated "90-day snapshots"; no server calculation in the reviewed code confirms a specific window). Note that the SQL Server transaction ETL loads only the </w:t>
      </w:r>
      <w:r>
        <w:rPr>
          <w:b/>
          <w:bCs/>
        </w:rPr>
        <w:t xml:space="preserve">last 13 months</w:t>
      </w:r>
      <w:r>
        <w:t xml:space="preserve"> of transactions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Queries/financial_transaction.sql:42,92</w:t>
      </w:r>
      <w:r>
        <w:t xml:space="preserve">), which bounds any history-based comparison.</w:t>
      </w:r>
    </w:p>
    <w:p>
      <w:pPr>
        <w:spacing w:after="80" w:before="40"/>
      </w:pPr>
      <w:r>
        <w:t xml:space="preserve">Example dollar figures that appeared in earlier documentation (e.g. deposits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$35,078.34</w:t>
      </w:r>
      <w:r>
        <w:t xml:space="preserve">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+52.03%</w:t>
      </w:r>
      <w:r>
        <w:t xml:space="preserve">) were illustrative placeholders, not live values, and are omitted here.</w:t>
      </w:r>
    </w:p>
    <w:p>
      <w:pPr>
        <w:pStyle w:val="Heading3"/>
      </w:pPr>
      <w:r>
        <w:t xml:space="preserve">4. Interactive Account Management</w:t>
      </w:r>
    </w:p>
    <w:p>
      <w:pPr>
        <w:spacing w:after="80" w:before="40"/>
      </w:pPr>
      <w:r>
        <w:t xml:space="preserve">The Accounts view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AccountSummaryTableVersion.tsx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AccountList.tsx</w:t>
      </w:r>
      <w:r>
        <w:t xml:space="preserve">) presents a customer's portfolio, split into </w:t>
      </w:r>
      <w:r>
        <w:rPr>
          <w:b/>
          <w:bCs/>
        </w:rPr>
        <w:t xml:space="preserve">Owned</w:t>
      </w:r>
      <w:r>
        <w:t xml:space="preserve"> and </w:t>
      </w:r>
      <w:r>
        <w:rPr>
          <w:b/>
          <w:bCs/>
        </w:rPr>
        <w:t xml:space="preserve">Affiliated (non-owned)</w:t>
      </w:r>
      <w:r>
        <w:t xml:space="preserve"> accounts, with type filtering (All / Deposits / Loans), free-text search, sortable balance/status columns, pagination, status color chips, and account-number masking. Selecting an account drives the transaction history and, on the Account Summary tab, the detail view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AccountDetailOption2.tsx</w:t>
      </w:r>
      <w:r>
        <w:t xml:space="preserve">).</w:t>
      </w:r>
    </w:p>
    <w:p>
      <w:pPr>
        <w:spacing w:after="80" w:before="40"/>
      </w:pPr>
      <w:r>
        <w:t xml:space="preserve">Account records are stored in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</w:t>
      </w:r>
      <w:r>
        <w:t xml:space="preserve"> table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shared/schema.ts:188-219</w:t>
      </w:r>
      <w:r>
        <w:t xml:space="preserve">) with a </w:t>
      </w:r>
      <w:r>
        <w:rPr>
          <w:b/>
          <w:bCs/>
        </w:rPr>
        <w:t xml:space="preserve">free-text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account_type</w:t>
      </w:r>
      <w:r>
        <w:rPr>
          <w:b/>
          <w:bCs/>
        </w:rPr>
        <w:t xml:space="preserve"> column</w:t>
      </w:r>
      <w:r>
        <w:t xml:space="preserve">; there is no enumerated set of account types enforced at the schema level. The account types that actually appear depend on the data path: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Dev/demo (faker seed,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scripts/seed.ts:14</w:t>
      </w:r>
      <w:r>
        <w:rPr>
          <w:b/>
          <w:bCs/>
        </w:rPr>
        <w:t xml:space="preserve">)</w:t>
      </w:r>
      <w:r>
        <w:t xml:space="preserve"> generates: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checking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savings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loan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credit_card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money_market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Preprod/prod (SQL Server ETL,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Insert Queries/account.sql</w:t>
      </w:r>
      <w:r>
        <w:rPr>
          <w:b/>
          <w:bCs/>
        </w:rPr>
        <w:t xml:space="preserve">)</w:t>
      </w:r>
      <w:r>
        <w:t xml:space="preserve"> loads accounts from the Jack Henry deposit and loan views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COMBINED_DEPO_VIEW_CURR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LOAN_VIEW_CURR</w:t>
      </w:r>
      <w:r>
        <w:t xml:space="preserve">).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full set of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account_type</w:t>
      </w:r>
      <w:r>
        <w:t xml:space="preserve"> values present in preprod/prod data (sourced from the Jack Henry views), and whether credit-card accounts are loaded in production. Card </w:t>
      </w:r>
      <w:r>
        <w:rPr>
          <w:i/>
          <w:iCs/>
        </w:rPr>
        <w:t xml:space="preserve">management</w:t>
      </w:r>
      <w:r>
        <w:t xml:space="preserve"> in the application is specifically </w:t>
      </w:r>
      <w:r>
        <w:rPr>
          <w:b/>
          <w:bCs/>
        </w:rPr>
        <w:t xml:space="preserve">debit cards</w:t>
      </w:r>
      <w:r>
        <w:t xml:space="preserve"> (see Feature 7); a "credit card" account type exists in the faker seed, but its presence in production data is not established from the repository.</w:t>
      </w:r>
    </w:p>
    <w:p>
      <w:pPr>
        <w:spacing w:after="80" w:before="40"/>
      </w:pPr>
      <w:r>
        <w:t xml:space="preserve">Displayed account details include account number and type, current/available balance, interest rate, credit limit, open/closed/maturity dates, and status. Balance and interest-rate columns render only for users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account.view.balances</w:t>
      </w:r>
      <w:r>
        <w:t xml:space="preserve">.</w:t>
      </w:r>
    </w:p>
    <w:p>
      <w:pPr>
        <w:pStyle w:val="Heading3"/>
      </w:pPr>
      <w:r>
        <w:t xml:space="preserve">5. Transaction History &amp; Analytics</w:t>
      </w:r>
    </w:p>
    <w:p>
      <w:pPr>
        <w:spacing w:after="80" w:before="40"/>
      </w:pPr>
      <w:r>
        <w:t xml:space="preserve">Transaction history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TransactionHistory.tsx</w:t>
      </w:r>
      <w:r>
        <w:t xml:space="preserve">) is account-scoped or customer-scoped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/api/accounts/:id/transactions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/api/customers/:id/transactions</w:t>
      </w:r>
      <w:r>
        <w:t xml:space="preserve">. Rows are drawn from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</w:t>
      </w:r>
      <w:r>
        <w:t xml:space="preserve"> table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shared/schema.ts:380-425</w:t>
      </w:r>
      <w:r>
        <w:t xml:space="preserve">) and show amount, running ledger balance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ledger_balance_after</w:t>
      </w:r>
      <w:r>
        <w:t xml:space="preserve">), transaction code/type, description, merchant, and dates, with a Deposits/Spending/Net quick-stats bar, per-code icons and labels (DD, ATM, BILLPAY, MOBDEP, ZELLE, WIRE, ACH, POS, INT, FEE), client-side search, and pagination. All amounts and timestamps are formatted in Pacific time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useDateFormatter</w:t>
      </w:r>
      <w:r>
        <w:t xml:space="preserve">).</w:t>
      </w:r>
    </w:p>
    <w:p>
      <w:pPr>
        <w:spacing w:after="80" w:before="40"/>
      </w:pPr>
      <w:r>
        <w:t xml:space="preserve">Note on data provenance: the SQL Server ETL joins transactions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account_number</w:t>
      </w:r>
      <w:r>
        <w:t xml:space="preserve"> (with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financial_transaction.account_id</w:t>
      </w:r>
      <w:r>
        <w:t xml:space="preserve"> now nullable) and loads only the last 13 months.</w:t>
      </w:r>
    </w:p>
    <w:p>
      <w:pPr>
        <w:pStyle w:val="Heading3"/>
      </w:pPr>
      <w:r>
        <w:t xml:space="preserve">6. Debit Card Management</w:t>
      </w:r>
    </w:p>
    <w:p>
      <w:pPr>
        <w:spacing w:after="80" w:before="40"/>
      </w:pPr>
      <w:r>
        <w:t xml:space="preserve">Debit cards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</w:t>
      </w:r>
      <w:r>
        <w:t xml:space="preserve"> table;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DebitCardDetailModal.tsx</w:t>
      </w:r>
      <w:r>
        <w:t xml:space="preserve">) are surfaced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/api/accounts/:id/debit-cards</w:t>
      </w:r>
      <w:r>
        <w:t xml:space="preserve">. Business rules are enforced by </w:t>
      </w:r>
      <w:r>
        <w:rPr>
          <w:b/>
          <w:bCs/>
        </w:rPr>
        <w:t xml:space="preserve">SQL Server database triggers</w:t>
      </w:r>
      <w:r>
        <w:t xml:space="preserve"> (documented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shared/schema.ts:430-450</w:t>
      </w:r>
      <w:r>
        <w:t xml:space="preserve">): a card may be issued only to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checking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business_checking</w:t>
      </w:r>
      <w:r>
        <w:t xml:space="preserve"> account, and the cardholder must be a valid owner of the linked account. Only the last four digits, card brand, and token references are stored (PCI-DSS aligned); full PAN/CVV/PIN are never stored. Cards support active/inactive/expired/blocked states and expiration tracking.</w:t>
      </w:r>
    </w:p>
    <w:p>
      <w:pPr>
        <w:pStyle w:val="Heading3"/>
      </w:pPr>
      <w:r>
        <w:t xml:space="preserve">7. Enterprise Notes Module</w:t>
      </w:r>
    </w:p>
    <w:p>
      <w:pPr>
        <w:spacing w:after="80" w:before="40"/>
      </w:pPr>
      <w:r>
        <w:t xml:space="preserve">The notes subsystem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NotesSection.tsx</w:t>
      </w:r>
      <w:r>
        <w:t xml:space="preserve">, backed by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note_version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note_audit_log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note_category</w:t>
      </w:r>
      <w:r>
        <w:t xml:space="preserve"> tables) supports customer- and account-level notes with: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Full version history and a version-history modal.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Hierarchical categories, importance (low/medium/high/urgent), visibility (public/internal/confidential), pinning, soft delete/restore, and legal-hold retention.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A per-operation audit trail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note_audit_log</w:t>
      </w:r>
      <w:r>
        <w:t xml:space="preserve">) capturing create/update/delete/restore/view with actor, correlation ID, and IP.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note.cif_number</w:t>
      </w:r>
      <w:r>
        <w:t xml:space="preserve"> denormalized Jack Henry CIF, populated server-side on create/update.</w:t>
      </w:r>
    </w:p>
    <w:p>
      <w:pPr>
        <w:spacing w:after="6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Access note:</w:t>
      </w:r>
      <w:r>
        <w:t xml:space="preserve"> the notes surface is gated by authentication only. There is </w:t>
      </w:r>
      <w:r>
        <w:rPr>
          <w:b/>
          <w:bCs/>
        </w:rPr>
        <w:t xml:space="preserve">no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notes.*</w:t>
      </w:r>
      <w:r>
        <w:rPr>
          <w:b/>
          <w:bCs/>
        </w:rPr>
        <w:t xml:space="preserve"> permission</w:t>
      </w:r>
      <w:r>
        <w:t xml:space="preserve"> defined anywhere in the schema, seed, or code; any authenticated employee can read and write notes regardless of role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</w:t>
      </w:r>
      <w:r>
        <w:t xml:space="preserve"> notes handlers; the UI renders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NotesSection</w:t>
      </w:r>
      <w:r>
        <w:t xml:space="preserve"> without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PermissionGuard</w:t>
      </w:r>
      <w:r>
        <w:t xml:space="preserve">). See </w:t>
      </w:r>
      <w:r>
        <w:rPr>
          <w:rStyle w:val="Hyperlink"/>
        </w:rPr>
        <w:t xml:space="preserve">Security &amp; Access Control</w:t>
      </w:r>
      <w:r>
        <w:t xml:space="preserve">.</w:t>
      </w:r>
    </w:p>
    <w:p>
      <w:pPr>
        <w:pStyle w:val="Heading3"/>
      </w:pPr>
      <w:r>
        <w:t xml:space="preserve">8. Household Relationship Mapping</w:t>
      </w:r>
    </w:p>
    <w:p>
      <w:pPr>
        <w:spacing w:after="80" w:before="40"/>
      </w:pPr>
      <w:r>
        <w:t xml:space="preserve">The Household view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client/src/pages/HouseholdPage.tsx</w:t>
      </w:r>
      <w:r>
        <w:t xml:space="preserve">, gated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household.view</w:t>
      </w:r>
      <w:r>
        <w:t xml:space="preserve">) aggregates a household's summary (assets, liabilities, risk, type), a members table (relationship role, ownership percentage, head-of-household, join date), an accounts table reusing the account grid, household notes, and parent/subsidiary drill-down. Households are modeled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household_membership</w:t>
      </w:r>
      <w:r>
        <w:t xml:space="preserve"> (customer↔household M:N with ownership percentage and control type), supporting family and business (B2B, parent/subsidiary) structures.</w:t>
      </w:r>
    </w:p>
    <w:p>
      <w:pPr>
        <w:pStyle w:val="Heading3"/>
      </w:pPr>
      <w:r>
        <w:t xml:space="preserve">9. Risk &amp; Compliance Fields</w:t>
      </w:r>
    </w:p>
    <w:p>
      <w:pPr>
        <w:spacing w:after="80" w:before="40"/>
      </w:pPr>
      <w:r>
        <w:t xml:space="preserve">The customer record carries compliance attributes: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kyc_status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kyc_last_updated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risk_rating</w:t>
      </w:r>
      <w:r>
        <w:t xml:space="preserve">, and flags such as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is_employee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vip_customer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is_deceased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shared/schema.ts:100-163</w:t>
      </w:r>
      <w:r>
        <w:t xml:space="preserve">). These are stored, displayed, and searchable customer attributes.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AML transaction monitoring, OFAC screening, or an automated compliance-review calendar are in scope. Earlier documentation listed "AML monitoring," "OFAC screening," and "next review scheduling"; the reviewed schema and code expose KYC status, risk rating, and employee/VIP/deceased flags, but no OFAC/AML screening engine or review-scheduling logic was found. State only what a human confirms is implemented.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Security &amp; Access Control</w:t>
      </w:r>
    </w:p>
    <w:p>
      <w:pPr>
        <w:spacing w:after="80" w:before="40"/>
      </w:pPr>
      <w:r>
        <w:t xml:space="preserve">Access control is central to the current application and is enforced on two layers: </w:t>
      </w:r>
      <w:r>
        <w:rPr>
          <w:b/>
          <w:bCs/>
        </w:rPr>
        <w:t xml:space="preserve">SAML SSO authentication</w:t>
      </w:r>
      <w:r>
        <w:t xml:space="preserve"> and a </w:t>
      </w:r>
      <w:r>
        <w:rPr>
          <w:b/>
          <w:bCs/>
        </w:rPr>
        <w:t xml:space="preserve">role-based / attribute-based permission model</w:t>
      </w:r>
      <w:r>
        <w:t xml:space="preserve"> driven by Active Directory group membership.</w:t>
      </w:r>
    </w:p>
    <w:p>
      <w:pPr>
        <w:pStyle w:val="Heading3"/>
      </w:pPr>
      <w:r>
        <w:t xml:space="preserve">Authentication (SAML SSO)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Where SSO is on:</w:t>
      </w:r>
      <w:r>
        <w:t xml:space="preserve"> SAML SSO is enabled in </w:t>
      </w:r>
      <w:r>
        <w:rPr>
          <w:b/>
          <w:bCs/>
        </w:rPr>
        <w:t xml:space="preserve">preprod and prod only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SAML_ENABLED=true</w:t>
      </w:r>
      <w:r>
        <w:t xml:space="preserve">). In </w:t>
      </w:r>
      <w:r>
        <w:rPr>
          <w:b/>
          <w:bCs/>
        </w:rPr>
        <w:t xml:space="preserve">dev and test</w:t>
      </w:r>
      <w:r>
        <w:t xml:space="preserve">, SSO is off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SAML_ENABLED=false</w:t>
      </w:r>
      <w:r>
        <w:t xml:space="preserve">) and the app uses a local/mock auth path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</w:t>
      </w:r>
      <w:r>
        <w:t xml:space="preserve"> injects a development System Admin identity when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Identity provider:</w:t>
      </w:r>
      <w:r>
        <w:t xml:space="preserve"> RSA SecurID Access, reached through the F&amp;M Bank RSA portal. Users launch ClientIQ from the portal tile; RSA POSTs a SAML response to the SP Assertion Consumer Service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/saml/acs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server/routes/auth.ts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Session store: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express-session</w:t>
      </w:r>
      <w:r>
        <w:t xml:space="preserve"> backed by SQL Server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connect-mssql-v2</w:t>
      </w:r>
      <w:r>
        <w:t xml:space="preserve">), cookie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clientiq.sid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SameSite=Lax</w:t>
      </w:r>
      <w:r>
        <w:t xml:space="preserve"> (required for the SAML HTTP-POST binding).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Auto-provisioning:</w:t>
      </w:r>
      <w:r>
        <w:t xml:space="preserve"> an authenticated RSA user with no employee row is auto-created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server/storage/sqlServerEmployee.ts</w:t>
      </w:r>
      <w:r>
        <w:t xml:space="preserve">), deemed safe because RSA already gates who may authenticate.</w:t>
      </w:r>
    </w:p>
    <w:p>
      <w:pPr>
        <w:spacing w:after="60"/>
      </w:pPr>
    </w:p>
    <w:p>
      <w:pPr>
        <w:pStyle w:val="Heading3"/>
      </w:pPr>
      <w:r>
        <w:t xml:space="preserve">AD-group → role provisioning</w:t>
      </w:r>
    </w:p>
    <w:p>
      <w:pPr>
        <w:spacing w:after="80" w:before="40"/>
      </w:pPr>
      <w:r>
        <w:t xml:space="preserve">Role assignment on login is </w:t>
      </w:r>
      <w:r>
        <w:rPr>
          <w:b/>
          <w:bCs/>
        </w:rPr>
        <w:t xml:space="preserve">code-based</w:t>
      </w:r>
      <w:r>
        <w:t xml:space="preserve"> and keyed on role </w:t>
      </w:r>
      <w:r>
        <w:rPr>
          <w:b/>
          <w:bCs/>
        </w:rPr>
        <w:t xml:space="preserve">names</w:t>
      </w:r>
      <w:r>
        <w:t xml:space="preserve">, not on a database mapping table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server/auth/adGroupRoleMap.ts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AD groups arrive in the SAML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 claim and follow the naming convention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&lt;PREFIX&gt;_&lt;ENV&gt;_APP_ClientIQ_&lt;RoleToken&gt;_&lt;Access&gt;</w:t>
      </w:r>
      <w:r>
        <w:t xml:space="preserve">. Only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RoleToken</w:t>
      </w:r>
      <w:r>
        <w:t xml:space="preserve"> selects a role; the access suffix (RO/RW/MOD/ADM/EXEC) is ignored.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  <w:r>
        <w:t xml:space="preserve"> (normalized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STG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PRD</w:t>
      </w:r>
      <w:r>
        <w:t xml:space="preserve">) scopes provisioning to the current deployment's environment, because one on-prem AD carries every environment's ClientIQ groups. A user who is Teller in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STG</w:t>
      </w:r>
      <w:r>
        <w:t xml:space="preserve"> groups and Branch Manager in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PRD</w:t>
      </w:r>
      <w:r>
        <w:t xml:space="preserve"> groups resolves to Teller in preprod and Branch Manager in prod.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On each login the sync </w:t>
      </w:r>
      <w:r>
        <w:rPr>
          <w:b/>
          <w:bCs/>
        </w:rPr>
        <w:t xml:space="preserve">reconciles</w:t>
      </w:r>
      <w:r>
        <w:t xml:space="preserve"> AD-derived roles: roles no longer present in the (env-scoped) groups are revoked, newly present roles are assigned. Provenance is tracked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employee_role.assigned_by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NULL</w:t>
      </w:r>
      <w:r>
        <w:t xml:space="preserve"> marks an AD/system-derived assignment (subject to auto-revoke), non-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NULL</w:t>
      </w:r>
      <w:r>
        <w:t xml:space="preserve"> marks an admin assignment (never auto-revoked).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Guaranteed fallback:</w:t>
      </w:r>
      <w:r>
        <w:t xml:space="preserve"> if AD yields no role (or the sync errors), the user is granted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SAML_DEFAULT_ROLE_NAME</w:t>
      </w:r>
      <w:r>
        <w:t xml:space="preserve"> (default </w:t>
      </w:r>
      <w:r>
        <w:rPr>
          <w:b/>
          <w:bCs/>
        </w:rPr>
        <w:t xml:space="preserve">Branch Manager</w:t>
      </w:r>
      <w:r>
        <w:t xml:space="preserve">) so no authenticated user is stranded on "Awaiting Role Assignment".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scripts/ensure_branch_manager_role.sql</w:t>
      </w:r>
      <w:r>
        <w:t xml:space="preserve"> guarantees that role exists.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 ("Business Relationship Specialist") role. The AD-group map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adGroupRoleMap.ts:48-49</w:t>
      </w:r>
      <w:r>
        <w:t xml:space="preserve">) maps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businessbanker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assistantmanager</w:t>
      </w:r>
      <w:r>
        <w:t xml:space="preserve"> tokens to a role named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, but no seed or in-repo migration creates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 row (the seed instead defines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Business Banker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Assistant Manager</w:t>
      </w:r>
      <w:r>
        <w:t xml:space="preserve">). Confirm which role rows exist in each SQL Server environment.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AD group owners and the exact AD group names provisioned per environment.</w:t>
      </w:r>
    </w:p>
    <w:p>
      <w:pPr>
        <w:spacing w:after="80" w:before="40"/>
      </w:pPr>
      <w:r>
        <w:t xml:space="preserve">A separate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saml_role_mapping</w:t>
      </w:r>
      <w:r>
        <w:t xml:space="preserve"> table and admin CRUD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/api/admin/saml-mappings</w:t>
      </w:r>
      <w:r>
        <w:t xml:space="preserve">) exist for name→role mappings, but they are </w:t>
      </w:r>
      <w:r>
        <w:rPr>
          <w:b/>
          <w:bCs/>
        </w:rPr>
        <w:t xml:space="preserve">not on the login path</w:t>
      </w:r>
      <w:r>
        <w:t xml:space="preserve"> in the current SQL Server flow. Role assignment on login is entirely the convention-based AD-group mapping above.</w:t>
      </w:r>
    </w:p>
    <w:p>
      <w:pPr>
        <w:pStyle w:val="Heading3"/>
      </w:pPr>
      <w:r>
        <w:t xml:space="preserve">Roles, privilege levels, and permissions</w:t>
      </w:r>
    </w:p>
    <w:p>
      <w:pPr>
        <w:spacing w:after="80" w:before="40"/>
      </w:pPr>
      <w:r>
        <w:t xml:space="preserve">The model uses </w:t>
      </w:r>
      <w:r>
        <w:rPr>
          <w:b/>
          <w:bCs/>
        </w:rPr>
        <w:t xml:space="preserve">5 privilege levels (0 to 4)</w:t>
      </w:r>
      <w:r>
        <w:t xml:space="preserve"> and </w:t>
      </w:r>
      <w:r>
        <w:rPr>
          <w:b/>
          <w:bCs/>
        </w:rPr>
        <w:t xml:space="preserve">9 seeded roles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scripts/seed.ts:107-127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Privilege 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Roles at this level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System Admin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System Admin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Senior/Branch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Branch Manager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Manager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Assistant Manager, Loan Officer, Business Banker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Staff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Teller, Customer Service Rep, Risk Analyst, Compliance Officer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Read-Only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</w:rPr>
              <w:t xml:space="preserve">(defined but unused by any seeded role)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b/>
          <w:bCs/>
        </w:rPr>
        <w:t xml:space="preserve">11 permission codes</w:t>
      </w:r>
      <w:r>
        <w:t xml:space="preserve"> are seeded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scripts/seed.ts:133-154</w:t>
      </w:r>
      <w:r>
        <w:t xml:space="preserve">), e.g.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accounts.view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account.view.balances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transaction.view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customer.view.relationship_summary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customer.view.recent_activity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customer.view.deposits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household.view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users.view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users.assign_roles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user_management.view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user_management.assign_roles</w:t>
      </w:r>
      <w:r>
        <w:t xml:space="preserve">.</w:t>
      </w:r>
    </w:p>
    <w:p>
      <w:pPr>
        <w:spacing w:after="80" w:before="40"/>
      </w:pPr>
      <w:r>
        <w:t xml:space="preserve">A user's effective permissions are the </w:t>
      </w:r>
      <w:r>
        <w:rPr>
          <w:b/>
          <w:bCs/>
        </w:rPr>
        <w:t xml:space="preserve">union</w:t>
      </w:r>
      <w:r>
        <w:t xml:space="preserve"> of two tiers: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Privilege-level inheritance</w:t>
      </w:r>
      <w:r>
        <w:t xml:space="preserve">: every active permission whose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min_privilege_level ≤ the user's max privilege level</w:t>
      </w:r>
      <w:r>
        <w:t xml:space="preserve"> is granted automatically. Consequence: level-2-and-above roles inherit all view permissions without any explicit grant.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Explicit role grants</w:t>
      </w:r>
      <w:r>
        <w:t xml:space="preserve">: rows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role_permission</w:t>
      </w:r>
      <w:r>
        <w:t xml:space="preserve">. Only level-1 roles receive explicit grants (Teller and Customer Service Rep get 7 permissions each; Risk Analyst and Compliance Officer get 6 read-only permissions each, without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transaction.view</w:t>
      </w:r>
      <w:r>
        <w:t xml:space="preserve">).</w:t>
      </w:r>
    </w:p>
    <w:p>
      <w:pPr>
        <w:spacing w:after="60"/>
      </w:pPr>
    </w:p>
    <w:p>
      <w:pPr>
        <w:spacing w:after="80" w:before="40"/>
      </w:pPr>
      <w:r>
        <w:t xml:space="preserve">Only </w:t>
      </w:r>
      <w:r>
        <w:rPr>
          <w:b/>
          <w:bCs/>
        </w:rPr>
        <w:t xml:space="preserve">System Admin (level 4)</w:t>
      </w:r>
      <w:r>
        <w:t xml:space="preserve"> can assign roles or manage SAML mappings; </w:t>
      </w:r>
      <w:r>
        <w:rPr>
          <w:b/>
          <w:bCs/>
        </w:rPr>
        <w:t xml:space="preserve">level ≥ 3</w:t>
      </w:r>
      <w:r>
        <w:t xml:space="preserve"> (Branch Manager, System Admin) can view the user list.</w:t>
      </w:r>
    </w:p>
    <w:p>
      <w:pPr>
        <w:pStyle w:val="Heading3"/>
      </w:pPr>
      <w:r>
        <w:t xml:space="preserve">Attribute-based control (ABAC)</w:t>
      </w:r>
    </w:p>
    <w:p>
      <w:pPr>
        <w:spacing w:after="80" w:before="40"/>
      </w:pPr>
      <w:r>
        <w:t xml:space="preserve">One permission is attribute-based: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transaction.view</w:t>
      </w:r>
      <w:r>
        <w:t xml:space="preserve"> restricts viewing the transactions of a customer who is themselves a bank employee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customer.isEmployee = true</w:t>
      </w:r>
      <w:r>
        <w:t xml:space="preserve">) unless the viewer has privilege level ≥ 3.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the employee-customer ABAC restriction fires in the SQL Server production path. The rule is evaluated in the ORM-abstraction permission service, which is a no-op in SQL Server mode; the SQL Server permission store implements branch/region restrictions instead. Confirm the production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permission.conditions</w:t>
      </w:r>
      <w:r>
        <w:t xml:space="preserve"> data encodes the intended employee-record restriction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server/storage/roleManagement/sqlServer.ts</w:t>
      </w:r>
      <w:r>
        <w:t xml:space="preserve">).</w:t>
      </w:r>
    </w:p>
    <w:p>
      <w:pPr>
        <w:pStyle w:val="Heading3"/>
      </w:pPr>
      <w:r>
        <w:t xml:space="preserve">Enforcement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Server-side: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requirePermission</w:t>
      </w:r>
      <w:r>
        <w:t xml:space="preserve"> middleware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server/middleware/permissions.ts</w:t>
      </w:r>
      <w:r>
        <w:t xml:space="preserve">) gates the accounts, transactions, and admin routes; every grant and deny emits an audit event. </w:t>
      </w:r>
      <w:r>
        <w:rPr>
          <w:b/>
          <w:bCs/>
        </w:rPr>
        <w:t xml:space="preserve">Deposit-summary/trend endpoints and all notes endpoints are authentication-only</w:t>
      </w:r>
      <w:r>
        <w:t xml:space="preserve">, not permission-gated.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Client-side (presentation):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PermissionGuard</w:t>
      </w:r>
      <w:r>
        <w:t xml:space="preserve"> and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usePermissions</w:t>
      </w:r>
      <w:r>
        <w:t xml:space="preserve"> hooks gate the Household, Accounts, and Account Summary tabs, the relationship/recent-activity/deposits cards, balance columns, and the admin nav link. The client is fail-closed while permissions load.</w:t>
      </w:r>
    </w:p>
    <w:p>
      <w:pPr>
        <w:spacing w:after="60"/>
      </w:pPr>
    </w:p>
    <w:p>
      <w:pPr>
        <w:pStyle w:val="Heading3"/>
      </w:pPr>
      <w:r>
        <w:t xml:space="preserve">Audit</w:t>
      </w:r>
    </w:p>
    <w:p>
      <w:pPr>
        <w:spacing w:after="80" w:before="40"/>
      </w:pPr>
      <w:r>
        <w:t xml:space="preserve">All security-relevant activity flows into a unified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audit_event</w:t>
      </w:r>
      <w:r>
        <w:t xml:space="preserve"> stream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shared/auditEvents.ts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server/services/auditService.ts</w:t>
      </w:r>
      <w:r>
        <w:t xml:space="preserve">), covering authentication, authorization grants/denials, PII and financial-data access, data modifications, admin actions, navigation, and search, plus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permission_denial_log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employee_role_history</w:t>
      </w:r>
      <w:r>
        <w:t xml:space="preserve">. (The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role_change_request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role_audit_log</w:t>
      </w:r>
      <w:r>
        <w:t xml:space="preserve"> tables are defined in the schema but are not written by current code.)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Technical Architecture</w:t>
      </w:r>
    </w:p>
    <w:p>
      <w:pPr>
        <w:pStyle w:val="Heading3"/>
      </w:pPr>
      <w: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Frontend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React 18 + </w:t>
            </w:r>
            <w:r>
              <w:rPr>
                <w:b/>
                <w:bCs/>
              </w:rPr>
              <w:t xml:space="preserve">Material-UI (MUI)</w:t>
            </w:r>
            <w:r>
              <w:t xml:space="preserve">, including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@mui/x-data-grid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Backend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Express 5 + TypeScript (Node)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Database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Microsoft SQL Server only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</w:t>
            </w:r>
            <w:r>
              <w:t xml:space="preserve"> driver)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ORM / types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Drizzle ORM (schema in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shared/schema.ts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Server state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TanStack Query (React Query v5)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Client routing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wouter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Auth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@node-saml/passport-saml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express-session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connect-mssql-v2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shadcn/ui + Radix primitives exist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client/src/components/ui/*</w:t>
      </w:r>
      <w:r>
        <w:t xml:space="preserve">, but they are largely unused scaffolding in the active screens; only a couple (Toaster, TooltipProvider) are wired at the app root. The UI is predominantly MUI.</w:t>
      </w:r>
    </w:p>
    <w:p>
      <w:pPr>
        <w:pStyle w:val="Heading3"/>
      </w:pPr>
      <w:r>
        <w:t xml:space="preserve">Database</w:t>
      </w:r>
    </w:p>
    <w:p>
      <w:pPr>
        <w:spacing w:after="80" w:before="40"/>
      </w:pPr>
      <w:r>
        <w:t xml:space="preserve">ClientIQ runs on </w:t>
      </w:r>
      <w:r>
        <w:rPr>
          <w:b/>
          <w:bCs/>
        </w:rPr>
        <w:t xml:space="preserve">Microsoft SQL Server exclusively</w:t>
      </w:r>
      <w:r>
        <w:t xml:space="preserve">, in every environment. The runtime connection manager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</w:t>
      </w:r>
      <w:r>
        <w:t xml:space="preserve">) is SQL Server only: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getDatabase()</w:t>
      </w:r>
      <w:r>
        <w:t xml:space="preserve"> returns an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</w:t>
      </w:r>
      <w:r>
        <w:t xml:space="preserve"> pool, and the non-SQL-Server helpers throw. Physical SQL Server schema is managed by idempotent scripts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Queries/Schema Changes/</w:t>
      </w:r>
      <w:r>
        <w:t xml:space="preserve"> (plus manual DDL).</w:t>
      </w:r>
    </w:p>
    <w:p>
      <w:pPr>
        <w:spacing w:after="80" w:before="40"/>
      </w:pPr>
      <w:r>
        <w:t xml:space="preserve">The Drizzle schema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) is written with the Drizzle ORM's type layer and serves as the source of TypeScript types and Zod insert/validation schemas used app-wide. It is an internal type/abstraction detail. It is not a second live database backend, and there is no runtime path to any engine other than SQL Server.</w:t>
      </w:r>
    </w:p>
    <w:p>
      <w:pPr>
        <w:spacing w:after="80" w:before="40"/>
      </w:pPr>
      <w:r>
        <w:rPr>
          <w:b/>
          <w:bCs/>
        </w:rPr>
        <w:t xml:space="preserve">Schema scope:</w:t>
      </w:r>
      <w:r>
        <w:t xml:space="preserve"> ~40 tables spanning the core banking domain (region, branch, employee, address, contact, customer, household, account, and their junction tables), reference/lookup tables (SIC codes, transaction and note categories), financial transactions, the notes module, and the RBAC/audit subsystem (privilege levels, roles, permissions, role/permission grants, employee-role assignments, SAML role mapping, and multiple audit/history tables). Key traits: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IDs are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BIGINT IDENTITY</w:t>
      </w:r>
      <w:r>
        <w:t xml:space="preserve">; SQL Server returns bigints as JavaScript strings, so numeric coercion is applied at boundaries.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UUID columns exist for transfer groups and audit correlation; JSON columns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NVARCHAR(MAX)</w:t>
      </w:r>
      <w:r>
        <w:t xml:space="preserve"> on SQL Server) carry metadata and ABAC config.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one explicit schema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CHECK</w:t>
      </w:r>
      <w:r>
        <w:t xml:space="preserve"> constraint requires a note to target exactly one of customer or account. Debit-card business rules are enforced by SQL Server triggers.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Performance indexes are created post-load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scripts/create_performance_indexes.sql</w:t>
      </w:r>
      <w:r>
        <w:t xml:space="preserve"> (nonclustered indexes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INCLUDE</w:t>
      </w:r>
      <w:r>
        <w:t xml:space="preserve"> columns). There is no similarity-based or full-text search index; search uses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LIKE</w:t>
      </w:r>
      <w:r>
        <w:t xml:space="preserve"> (see Feature 1).</w:t>
      </w:r>
    </w:p>
    <w:p>
      <w:pPr>
        <w:spacing w:after="60"/>
      </w:pPr>
    </w:p>
    <w:p>
      <w:pPr>
        <w:pStyle w:val="Heading3"/>
      </w:pPr>
      <w:r>
        <w:t xml:space="preserve">Data integrity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Type-safe contracts:</w:t>
      </w:r>
      <w:r>
        <w:t xml:space="preserve"> Zod schemas validate API inputs (notably the polymorphic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insertCustomerSchema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DTO adapters: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server/adapters/*</w:t>
      </w:r>
      <w:r>
        <w:t xml:space="preserve"> map DB rows to API DTOs and mask sensitive fields (SSN/tax ID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XXX-XX-&lt;last4&gt;</w:t>
      </w:r>
      <w:r>
        <w:t xml:space="preserve">), preventing raw DB field names from leaking to the client.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Null safety:</w:t>
      </w:r>
      <w:r>
        <w:t xml:space="preserve"> defensive handling for missing/incomplete data across the transaction and analytics paths.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Test &amp; Environment Data</w:t>
      </w:r>
    </w:p>
    <w:p>
      <w:pPr>
        <w:spacing w:after="80" w:before="40"/>
      </w:pPr>
      <w:r>
        <w:t xml:space="preserve">There are </w:t>
      </w:r>
      <w:r>
        <w:rPr>
          <w:b/>
          <w:bCs/>
        </w:rPr>
        <w:t xml:space="preserve">two independent data-load paths</w:t>
      </w:r>
      <w:r>
        <w:t xml:space="preserve">; they populate different environments and must not be conflated.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Engine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Populates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scripts/seed.ts</w:t>
            </w:r>
            <w:r>
              <w:t xml:space="preserve"> (faker)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Drizzle abstraction / dev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 / demo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Deterministic synthetic data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faker.seed(12345)</w:t>
            </w:r>
            <w: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Insert Queries/*.sql</w:t>
            </w:r>
            <w:r>
              <w:t xml:space="preserve"> (ETL)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SQL Server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preprod / prod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Real data from Jack Henry views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TheSpot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TheSpotPreProd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TheVault</w:t>
            </w:r>
            <w:r>
              <w:t xml:space="preserve">)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b/>
          <w:bCs/>
        </w:rPr>
        <w:t xml:space="preserve">Faker seed volumes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</w:t>
      </w:r>
      <w:r>
        <w:t xml:space="preserve">): 8 branches, employees per branch, </w:t>
      </w:r>
      <w:r>
        <w:rPr>
          <w:b/>
          <w:bCs/>
        </w:rPr>
        <w:t xml:space="preserve">1,200 customers</w:t>
      </w:r>
      <w:r>
        <w:t xml:space="preserve"> whose type is chosen randomly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individual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business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trust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estate</w:t>
      </w:r>
      <w:r>
        <w:t xml:space="preserve"> (so per-type counts are non-deterministic), 400 households, 1 to 5 accounts per customer, and debit cards for active checking accounts. Employee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#1</w:t>
      </w:r>
      <w:r>
        <w:t xml:space="preserve"> (Sarah Johnson, System Admin) is a guaranteed admin test login. (Earlier documentation cited a fixed "505 customers / 175 individual / 159 business / 171 trust" split, which does not match the seed and omits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estate</w:t>
      </w:r>
      <w:r>
        <w:t xml:space="preserve"> type.)</w:t>
      </w:r>
    </w:p>
    <w:p>
      <w:pPr>
        <w:spacing w:after="80" w:before="40"/>
      </w:pPr>
      <w:r>
        <w:rPr>
          <w:b/>
          <w:bCs/>
        </w:rPr>
        <w:t xml:space="preserve">SQL Server ETL</w:t>
      </w:r>
      <w:r>
        <w:t xml:space="preserve"> loads production/preprod data in FK-dependency order (lookups → customer/employee → addresses/contacts/accounts → memberships/transactions), keyed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jack_henry_cif_number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account_number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officer_code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branch_code</w:t>
      </w:r>
      <w:r>
        <w:t xml:space="preserve">. RBAC tables are </w:t>
      </w:r>
      <w:r>
        <w:rPr>
          <w:b/>
          <w:bCs/>
        </w:rPr>
        <w:t xml:space="preserve">not</w:t>
      </w:r>
      <w:r>
        <w:t xml:space="preserve"> loaded by the ETL; SQL Server environments bootstrap RBAC separately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ensure_branch_manager_role.sql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ensure_rbac_provenance_columns.sql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widen_employee_last_seen_saml_role.sql</w:t>
      </w:r>
      <w:r>
        <w:t xml:space="preserve">). Transaction data is time-boxed to the </w:t>
      </w:r>
      <w:r>
        <w:rPr>
          <w:b/>
          <w:bCs/>
        </w:rPr>
        <w:t xml:space="preserve">last 13 months</w:t>
      </w:r>
      <w:r>
        <w:t xml:space="preserve">.</w:t>
      </w:r>
    </w:p>
    <w:p>
      <w:pPr>
        <w:pStyle w:val="Heading3"/>
      </w:pPr>
      <w:r>
        <w:t xml:space="preserve">Jack Henry integration</w:t>
      </w:r>
    </w:p>
    <w:p>
      <w:pPr>
        <w:spacing w:after="80" w:before="40"/>
      </w:pPr>
      <w:r>
        <w:t xml:space="preserve">The data model follows Jack Henry core-banking conventions: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jack_henry_cif_number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silverlake_customer_id</w:t>
      </w:r>
      <w:r>
        <w:t xml:space="preserve"> on customers,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jack_henry_account_id</w:t>
      </w:r>
      <w:r>
        <w:t xml:space="preserve"> and Silverlake account structure on accounts, and transaction codes/categories sourced from Jack Henry views. Source of truth for production/preprod is the Jack Henry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TheSpot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TheVault</w:t>
      </w:r>
      <w:r>
        <w:t xml:space="preserve"> view family via the SQL Server ETL.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Deployment &amp; CI/CD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Environments:</w:t>
      </w:r>
      <w:r>
        <w:t xml:space="preserve"> dev, test, preprod, prod. dev, test, and preprod each run a single app server against a single SQL Server database; prod is the higher-availability tier (the pipeline deploys to two app servers).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CI/CD:</w:t>
      </w:r>
      <w:r>
        <w:t xml:space="preserve"> </w:t>
      </w:r>
      <w:r>
        <w:rPr>
          <w:b/>
          <w:bCs/>
        </w:rPr>
        <w:t xml:space="preserve">Azure DevOps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azure-pipelines.yml</w:t>
      </w:r>
      <w:r>
        <w:t xml:space="preserve">). The pipeline triggers on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preprod</w:t>
      </w:r>
      <w:r>
        <w:t xml:space="preserve"> branches and has deploy stages for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</w:t>
      </w:r>
      <w:r>
        <w:t xml:space="preserve">→Dev,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</w:t>
      </w:r>
      <w:r>
        <w:t xml:space="preserve">→Test,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preprod</w:t>
      </w:r>
      <w:r>
        <w:t xml:space="preserve">→PreProd,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→Prod (two stages). Each stage sets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SAMLRoleEnv</w:t>
      </w:r>
      <w:r>
        <w:t xml:space="preserve"> for that environment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STG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GitHub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main</w:t>
      </w:r>
      <w:r>
        <w:rPr>
          <w:b/>
          <w:bCs/>
        </w:rPr>
        <w:t xml:space="preserve"> deploys nowhere.</w:t>
      </w:r>
      <w:r>
        <w:t xml:space="preserve"> Preprod and prod deploy from the Azure DevOps branches above; pushing to GitHub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</w:t>
      </w:r>
      <w:r>
        <w:t xml:space="preserve"> does not reach any environment.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Deploy mechanism:</w:t>
      </w:r>
      <w:r>
        <w:t xml:space="preserve"> PowerShell Remoting to Windows Servers: copy the build artifact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</w:t>
      </w:r>
      <w:r>
        <w:t xml:space="preserve">, stop the Windows Service, optionally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 (only when the commit message contains that string), then restart the service.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Security tooling:</w:t>
      </w:r>
      <w:r>
        <w:t xml:space="preserve"> SonarQube SAST runs on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</w:t>
      </w:r>
      <w:r>
        <w:t xml:space="preserve"> branch; OWASP ZAP DAST runs after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</w:t>
      </w:r>
      <w:r>
        <w:t xml:space="preserve"> deploy and fails the build on any high-severity finding. (There are no pre-commit governance hooks, no dependency-audit CI step, and no contract/DTO or architecture-enforcement scripts in the repository; earlier documentation described a "CI/CD Governance" framework that does not exist.)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Web tier:</w:t>
      </w:r>
      <w:r>
        <w:t xml:space="preserve"> </w:t>
      </w:r>
      <w:r>
        <w:rPr>
          <w:b/>
          <w:bCs/>
        </w:rPr>
        <w:t xml:space="preserve">IIS</w:t>
      </w:r>
      <w:r>
        <w:t xml:space="preserve"> (Internet Information Services on Windows Server) fronts the Node/Express app, terminating TLS and reverse-proxying to the Node process on HTTP port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5000</w:t>
      </w:r>
      <w:r>
        <w:t xml:space="preserve">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IIS site bindings, ARR/reverse-proxy configuration, TLS certificate owners and paths, real hostnames/FQDNs, the exact prod load-balancer topology across the two app servers, backup cadence, SLAs, support contacts, and compliance posture. None of these are defined in the repository.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990600"/>
            <wp:effectExtent t="0" r="0" b="0" l="0"/>
            <wp:docPr id="1" name="diagram-clientiq-overview-1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Key Characteristics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b/>
          <w:bCs/>
        </w:rPr>
        <w:t xml:space="preserve">SQL Server everywhere</w:t>
      </w:r>
      <w:r>
        <w:t xml:space="preserve">: a single database engine across all environments; no runtime alternate backend.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b/>
          <w:bCs/>
        </w:rPr>
        <w:t xml:space="preserve">Substring search</w:t>
      </w:r>
      <w:r>
        <w:t xml:space="preserve">: case-insensitive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LIKE</w:t>
      </w:r>
      <w:r>
        <w:t xml:space="preserve"> matching across name/business/full-name/tax-id/Silverlake-id fields on SQL Server.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b/>
          <w:bCs/>
        </w:rPr>
        <w:t xml:space="preserve">SAML + AD-group RBAC</w:t>
      </w:r>
      <w:r>
        <w:t xml:space="preserve">: production login via RSA SecurID SSO, with per-login, environment-scoped, code-based AD-group→role reconciliation and a guaranteed Branch Manager fallback.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b/>
          <w:bCs/>
        </w:rPr>
        <w:t xml:space="preserve">Two-tier permissions</w:t>
      </w:r>
      <w:r>
        <w:t xml:space="preserve">: privilege-level inheritance combined with explicit role grants, enforced server-side and mirrored in the UI.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b/>
          <w:bCs/>
        </w:rPr>
        <w:t xml:space="preserve">Polymorphic customers</w:t>
      </w:r>
      <w:r>
        <w:t xml:space="preserve">: Zod-validated conditional name requirements by customer type.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b/>
          <w:bCs/>
        </w:rPr>
        <w:t xml:space="preserve">Unified audit</w:t>
      </w:r>
      <w:r>
        <w:t xml:space="preserve">: a single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audit_event</w:t>
      </w:r>
      <w:r>
        <w:t xml:space="preserve"> stream plus permission-denial and role-history logs.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b/>
          <w:bCs/>
        </w:rPr>
        <w:t xml:space="preserve">Azure DevOps delivery</w:t>
      </w:r>
      <w:r>
        <w:t xml:space="preserve">: branch-driven deploys to Windows Services, GitHub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</w:t>
      </w:r>
      <w:r>
        <w:t xml:space="preserve"> deploying nowhere.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ClientIQ / Banking Client 360  —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ClientIQ (Banking Client 360): Product &amp; Architecture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B2B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6a5b472b23af58c2282b4ca06e17d8856a1f52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ClientIQ (Banking Client 360): Product &amp; Architecture Overview</dc:title>
  <dc:creator>ClientIQ Docs</dc:creator>
  <cp:lastModifiedBy>Un-named</cp:lastModifiedBy>
  <cp:revision>1</cp:revision>
  <dcterms:created xsi:type="dcterms:W3CDTF">2026-07-02T22:15:04.391Z</dcterms:created>
  <dcterms:modified xsi:type="dcterms:W3CDTF">2026-07-02T22:15:04.391Z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