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Database ERD: ClientIQ / Banking Client 360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This document is the entity-relationship reference for the ClientIQ (Banking Client 360) data model. It is regenerated directly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, which is the single authoritative definition of the schema. It covers all </w:t>
      </w:r>
      <w:r>
        <w:rPr>
          <w:b/>
          <w:bCs/>
        </w:rPr>
        <w:t xml:space="preserve">40 tables</w:t>
      </w:r>
      <w:r>
        <w:t xml:space="preserve">, grouped by domain, with the foreign keys, cardinalities, and constraints that actually exist in the code, nothing aspirational.</w:t>
      </w:r>
    </w:p>
    <w:p>
      <w:pPr>
        <w:pStyle w:val="Heading3"/>
      </w:pPr>
      <w:r>
        <w:t xml:space="preserve">Database engine</w:t>
      </w:r>
    </w:p>
    <w:p>
      <w:pPr>
        <w:spacing w:after="80" w:before="40"/>
      </w:pPr>
      <w:r>
        <w:rPr>
          <w:b/>
          <w:bCs/>
        </w:rPr>
        <w:t xml:space="preserve">Microsoft SQL Server 2019+ is the only production database engine, in every environment.</w:t>
      </w:r>
    </w:p>
    <w:p>
      <w:pPr>
        <w:spacing w:after="80" w:before="40"/>
      </w:pPr>
      <w:r>
        <w:t xml:space="preserve">The schema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is authored using Drizzle's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*-core</w:t>
      </w:r>
      <w:r>
        <w:t xml:space="preserve"> table builder for TypeScript type generation only. Those table objects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drizzle.config.ts</w:t>
      </w:r>
      <w:r>
        <w:t xml:space="preserve"> are a type/tooling abstraction; they are </w:t>
      </w:r>
      <w:r>
        <w:rPr>
          <w:b/>
          <w:bCs/>
        </w:rPr>
        <w:t xml:space="preserve">not</w:t>
      </w:r>
      <w:r>
        <w:t xml:space="preserve"> a runtime target and are never applied to production. Production DDL is managed by standalone idempotent SQL Server scripts (see </w:t>
      </w:r>
      <w:r>
        <w:rPr>
          <w:rStyle w:val="Hyperlink"/>
        </w:rPr>
        <w:t xml:space="preserve">Change Management</w:t>
      </w:r>
      <w:r>
        <w:t xml:space="preserve">). The production database uses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</w:t>
      </w:r>
      <w:r>
        <w:t xml:space="preserve"> schema.</w:t>
      </w:r>
    </w:p>
    <w:p>
      <w:pPr>
        <w:spacing w:after="80" w:before="40"/>
      </w:pPr>
      <w:r>
        <w:t xml:space="preserve">Column names in this document use the physical (snake_case) names as they exist in SQL Server; the TypeScript property names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are camelCase equivalents.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Table inventory (40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Core Banking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debit_card_limit_profile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Relationship / Junction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entity_contact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account_sic_code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Reference / Lookup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 Transactions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Dashboard / Activity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online_banking_user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online_banking_login_event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note_audit_log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RBAC / 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privilege_level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role_permission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saml_role_mapping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role_audit_log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permission_denial_log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User Management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employee_status_history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employee_role_history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role_change_request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Audit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40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Primary keys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 IDENTITY</w:t>
      </w:r>
      <w:r>
        <w:t xml:space="preserve"> columns unless noted. Because these are 64-bit integers, they are returned to the Node/Express layer as </w:t>
      </w:r>
      <w:r>
        <w:rPr>
          <w:b/>
          <w:bCs/>
        </w:rPr>
        <w:t xml:space="preserve">JavaScript strings</w:t>
      </w:r>
      <w:r>
        <w:t xml:space="preserve">; coerce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Number()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z.coerce.number()</w:t>
      </w:r>
      <w:r>
        <w:t xml:space="preserve"> at every boundary.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Core Banking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4362450"/>
            <wp:effectExtent t="0" r="0" b="0" l="0"/>
            <wp:docPr id="1" name="diagram-database-erd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region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schema.ts:24</w:t>
      </w:r>
      <w:r>
        <w:t xml:space="preserve">): Geographic region lookup.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region_code</w:t>
      </w:r>
      <w:r>
        <w:t xml:space="preserve"> is unique.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branch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schema.ts:32</w:t>
      </w:r>
      <w:r>
        <w:t xml:space="preserve">): Physical branches. FKs: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address_id → address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region_id → region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schema.ts:45</w:t>
      </w:r>
      <w:r>
        <w:t xml:space="preserve">): Bank staff and system users. Carries the SAML SSO fields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sso_subject</w:t>
      </w:r>
      <w:r>
        <w:t xml:space="preserve"> (unique),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email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last_seen_saml_role</w:t>
      </w:r>
      <w:r>
        <w:t xml:space="preserve"> (the raw claim last observed at login). Soft-deleted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deleted_at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modified_by</w:t>
      </w:r>
      <w:r>
        <w:t xml:space="preserve"> is a plain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 (no FK constraint in the schema).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address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schema.ts:68</w:t>
      </w:r>
      <w:r>
        <w:t xml:space="preserve">): Standalone address records; linked to entities polymorphically through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entity_address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contact_info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schema.ts:84</w:t>
      </w:r>
      <w:r>
        <w:t xml:space="preserve">): Standalone contact records (phone/email/etc.); linked polymorphically through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entity_contact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customer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schema.ts:100</w:t>
      </w:r>
      <w:r>
        <w:t xml:space="preserve">): Individuals and businesses in one table. Individual name fields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business_name</w:t>
      </w:r>
      <w:r>
        <w:t xml:space="preserve"> are all nullable; the applicable set is enforced by the Zod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insertCustomerSchema</w:t>
      </w:r>
      <w:r>
        <w:t xml:space="preserve"> discriminated union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schema.ts:907</w:t>
      </w:r>
      <w:r>
        <w:t xml:space="preserve">), </w:t>
      </w:r>
      <w:r>
        <w:rPr>
          <w:b/>
          <w:bCs/>
        </w:rPr>
        <w:t xml:space="preserve">not</w:t>
      </w:r>
      <w:r>
        <w:t xml:space="preserve"> by a DB check constraint. Only FK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branch_id → branch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full_name</w:t>
      </w:r>
      <w:r>
        <w:t xml:space="preserve"> is a derived column (see </w:t>
      </w:r>
      <w:r>
        <w:rPr>
          <w:rStyle w:val="Hyperlink"/>
        </w:rPr>
        <w:t xml:space="preserve">Derived columns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household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schema.ts:165</w:t>
      </w:r>
      <w:r>
        <w:t xml:space="preserve">): Supports B2B hierarchies via self-referencing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parent_household_id</w:t>
      </w:r>
      <w:r>
        <w:t xml:space="preserve">. FK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relationship_manager_id → employee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schema.ts:188</w:t>
      </w:r>
      <w:r>
        <w:t xml:space="preserve">): Deposit/loan accounts.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 is unique. </w:t>
      </w:r>
      <w:r>
        <w:rPr>
          <w:b/>
          <w:bCs/>
        </w:rPr>
        <w:t xml:space="preserve">Its only FK is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branch_id → branch</w:t>
      </w:r>
      <w:r>
        <w:rPr>
          <w:b/>
          <w:bCs/>
        </w:rPr>
        <w:t xml:space="preserve">.</w:t>
      </w:r>
      <w:r>
        <w:t xml:space="preserve">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column or FK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; account↔SIC classification is modeled via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account_sic_code</w:t>
      </w:r>
      <w:r>
        <w:t xml:space="preserve"> junction (see below).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debit_card_limit_profile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schema.ts:453</w:t>
      </w:r>
      <w:r>
        <w:t xml:space="preserve">): Reusable card-limit templates.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debit_card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schema.ts:466</w:t>
      </w:r>
      <w:r>
        <w:t xml:space="preserve">): Read-only card display from core banking; stores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last_four_digits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card_brand</w:t>
      </w:r>
      <w:r>
        <w:t xml:space="preserve">, and token references (PCI-DSS). FKs: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 → account</w:t>
      </w:r>
      <w:r>
        <w:t xml:space="preserve"> (</w:t>
      </w:r>
      <w:r>
        <w:rPr>
          <w:b/>
          <w:bCs/>
        </w:rPr>
        <w:t xml:space="preserve">NOT NULL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customer_id → customer</w:t>
      </w:r>
      <w:r>
        <w:t xml:space="preserve"> (</w:t>
      </w:r>
      <w:r>
        <w:rPr>
          <w:b/>
          <w:bCs/>
        </w:rPr>
        <w:t xml:space="preserve">NOT NULL</w:t>
      </w:r>
      <w:r>
        <w:t xml:space="preserve">, ties the card to a valid account owner),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limit_profile_id → debit_card_limit_profile</w:t>
      </w:r>
      <w:r>
        <w:t xml:space="preserve"> (nullable). Card account-type and owner-validation rules are enforced by SQL Server triggers whose DDL is external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Location and current text of the SQL Server trigger(s) that enforce the debit-card business rules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account_type IN ('checking','business_checking')</w:t>
      </w:r>
      <w:r>
        <w:t xml:space="preserve"> and cardholder-is-account-owner). The rules are documented in a code comment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schema.ts:431-450</w:t>
      </w:r>
      <w:r>
        <w:t xml:space="preserve">) but the trigger DDL is not present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or the reviewed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files.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Relationship / junction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990600"/>
            <wp:effectExtent t="0" r="0" b="0" l="0"/>
            <wp:docPr id="1" name="diagram-database-erd-2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entity_address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schema.ts:222</w:t>
      </w:r>
      <w:r>
        <w:t xml:space="preserve">): Polymorphic M:N between any entity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entity_id</w:t>
      </w:r>
      <w:r>
        <w:t xml:space="preserve"> deliberately has </w:t>
      </w:r>
      <w:r>
        <w:rPr>
          <w:b/>
          <w:bCs/>
        </w:rPr>
        <w:t xml:space="preserve">no FK</w:t>
      </w:r>
      <w:r>
        <w:t xml:space="preserve"> (polymorphic, discriminated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entity_type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address_purpose</w:t>
      </w:r>
      <w:r>
        <w:t xml:space="preserve"> defaults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primary</w:t>
      </w:r>
      <w:r>
        <w:t xml:space="preserve">; effective range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start_date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end_date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entity_contact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schema.ts:235</w:t>
      </w:r>
      <w:r>
        <w:t xml:space="preserve">): Polymorphic M:N between any entity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contact_info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entity_id</w:t>
      </w:r>
      <w:r>
        <w:t xml:space="preserve"> has no FK by design. Carries a denormalized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contact_type_cached</w:t>
      </w:r>
      <w:r>
        <w:t xml:space="preserve"> column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schema.ts:246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household_membership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schema.ts:249</w:t>
      </w:r>
      <w:r>
        <w:t xml:space="preserve">): M:N customer↔household with role,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ownership_percentage</w:t>
      </w:r>
      <w:r>
        <w:t xml:space="preserve"> (NOT NULL)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control_type</w:t>
      </w:r>
      <w:r>
        <w:t xml:space="preserve"> for B2B modeling.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account_ownership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schema.ts:271</w:t>
      </w:r>
      <w:r>
        <w:t xml:space="preserve">): M:N account↔customer with ownership type, percentage, and signing/transaction authority flags.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employee_branch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schema.ts:288</w:t>
      </w:r>
      <w:r>
        <w:t xml:space="preserve">): M:N employee↔branch. Unique key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unq_employee_branch (employee_id, branch_id)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customer_officer_assignment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schema.ts:306</w:t>
      </w:r>
      <w:r>
        <w:t xml:space="preserve">): Composite unique key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pk_customer_officer (customer_id, officer_code)</w:t>
      </w:r>
      <w:r>
        <w:t xml:space="preserve">. Links customers to servicing officers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 string (note: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 is not a declared FK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employee.officer_code</w:t>
      </w:r>
      <w:r>
        <w:t xml:space="preserve">, though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employee.officer_code</w:t>
      </w:r>
      <w:r>
        <w:t xml:space="preserve"> is unique).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customer_sic_code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schema.ts:335</w:t>
      </w:r>
      <w:r>
        <w:t xml:space="preserve">): M:N customer↔SIC. Composite unique key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pk_customer_sic (customer_id, sic_code)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account_sic_code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schema.ts:348</w:t>
      </w:r>
      <w:r>
        <w:t xml:space="preserve">): M:N account↔SIC with effective dating. Unique key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unq_account_sic (account_id, sic_code)</w:t>
      </w:r>
      <w:r>
        <w:t xml:space="preserve">. This is how accounts are classified by industry;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FK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itself.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Reference / lookup and Financial Transactions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diagram-database-erd-3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sic_code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schema.ts:324</w:t>
      </w:r>
      <w:r>
        <w:t xml:space="preserve">): Standard Industrial Classification lookup.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numeric value is itself the primary key.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transaction_category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schema.ts:370</w:t>
      </w:r>
      <w:r>
        <w:t xml:space="preserve">): Category lookup.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name</w:t>
      </w:r>
      <w:r>
        <w:t xml:space="preserve"> is unique.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parent_id</w:t>
      </w:r>
      <w:r>
        <w:t xml:space="preserve"> is a self-reference but declared </w:t>
      </w:r>
      <w:r>
        <w:rPr>
          <w:b/>
          <w:bCs/>
        </w:rPr>
        <w:t xml:space="preserve">without</w:t>
      </w:r>
      <w:r>
        <w:t xml:space="preserve"> a FK constraint.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group_code</w:t>
      </w:r>
      <w:r>
        <w:t xml:space="preserve"> drives dashboard activity grouping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direct_deposit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atm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billpay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zelle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wire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ach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financial_transaction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schema.ts:380</w:t>
      </w:r>
      <w:r>
        <w:t xml:space="preserve">): Ledger of transactions. Its foreign keys are exactly: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 → account</w:t>
      </w:r>
      <w:r>
        <w:t xml:space="preserve"> (</w:t>
      </w:r>
      <w:r>
        <w:rPr>
          <w:b/>
          <w:bCs/>
        </w:rPr>
        <w:t xml:space="preserve">nullable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category_id → transaction_category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counterparty_account_id → account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related_transaction_id</w:t>
      </w:r>
      <w:r>
        <w:t xml:space="preserve"> is a plain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 with no FK.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rPr>
          <w:b/>
          <w:bCs/>
        </w:rPr>
        <w:t xml:space="preserve">There is 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debit_card_id</w:t>
      </w:r>
      <w:r>
        <w:rPr>
          <w:b/>
          <w:bCs/>
        </w:rPr>
        <w:t xml:space="preserve"> column or FK on this table</w:t>
      </w:r>
      <w:r>
        <w:t xml:space="preserve">, and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 → financial_transaction</w:t>
      </w:r>
      <w:r>
        <w:t xml:space="preserve"> relationship exists in the schema. (A stale code comment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schema.ts:448</w:t>
      </w:r>
      <w:r>
        <w:t xml:space="preserve"> claims such a linkage; the table definition contradicts it.)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 is nullable because the ETL no longer guarantees it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schema.ts:382-384</w:t>
      </w:r>
      <w:r>
        <w:t xml:space="preserve">). The denormalized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varchar(50)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schema.ts:404</w:t>
      </w:r>
      <w:r>
        <w:t xml:space="preserve">) is the current join/filter source of truth for Operations queries.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Deduplication unique key: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unq_account_source_txn (account_id, source_system, source_transaction_id)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schema.ts:424</w:t>
      </w:r>
      <w:r>
        <w:t xml:space="preserve">).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A card↔transaction linkage does </w:t>
      </w:r>
      <w:r>
        <w:rPr>
          <w:b/>
          <w:bCs/>
        </w:rPr>
        <w:t xml:space="preserve">not</w:t>
      </w:r>
      <w:r>
        <w:t xml:space="preserve"> exist in the current schema. If the business requires attributing transactions to a specific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</w:t>
      </w:r>
      <w:r>
        <w:t xml:space="preserve">, treat it as a known data-model gap to be scoped, not as existing behavior.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Dashboard / activity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4629150"/>
            <wp:effectExtent t="0" r="0" b="0" l="0"/>
            <wp:docPr id="1" name="diagram-database-erd-4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online_banking_user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schema.ts:495</w:t>
      </w:r>
      <w:r>
        <w:t xml:space="preserve">): Online-banking credential/status per customer.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login_id</w:t>
      </w:r>
      <w:r>
        <w:t xml:space="preserve"> is unique; tracks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failed_attempts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locked_at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online_banking_login_event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schema.ts:512</w:t>
      </w:r>
      <w:r>
        <w:t xml:space="preserve">): Login event log.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result</w:t>
      </w:r>
      <w:r>
        <w:t xml:space="preserve"> is NOT NULL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success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failure</w:t>
      </w:r>
      <w:r>
        <w:t xml:space="preserve">); indexed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idx_login_event_result (result, occurred_at)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contact_history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schema.ts:527</w:t>
      </w:r>
      <w:r>
        <w:t xml:space="preserve">): Recent customer interactions for the dashboard.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customer_id</w:t>
      </w:r>
      <w:r>
        <w:t xml:space="preserve"> is NOT NULL;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</w:t>
      </w:r>
      <w:r>
        <w:t xml:space="preserve"> is a </w:t>
      </w:r>
      <w:r>
        <w:rPr>
          <w:b/>
          <w:bCs/>
        </w:rPr>
        <w:t xml:space="preserve">nullable</w:t>
      </w:r>
      <w:r>
        <w:t xml:space="preserve"> FK. Carries a denormalized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employee_name</w:t>
      </w:r>
      <w:r>
        <w:t xml:space="preserve"> column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schema.ts:533</w:t>
      </w:r>
      <w:r>
        <w:t xml:space="preserve">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Notes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6705600"/>
            <wp:effectExtent t="0" r="0" b="0" l="0"/>
            <wp:docPr id="1" name="diagram-database-erd-5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note_category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schema.ts:559</w:t>
      </w:r>
      <w:r>
        <w:t xml:space="preserve">): Hierarchical categories via self-referencing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parent_category_id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schema.ts:575</w:t>
      </w:r>
      <w:r>
        <w:t xml:space="preserve">): Immutable note identity and target. Both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customer_id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 are nullable FKs; a table </w:t>
      </w:r>
      <w:r>
        <w:rPr>
          <w:b/>
          <w:bCs/>
        </w:rPr>
        <w:t xml:space="preserve">CHECK constraint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check_note_one_target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schema.ts:598-601</w:t>
      </w:r>
      <w:r>
        <w:t xml:space="preserve">) enforces that exactly one of them is set.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legal_hold</w:t>
      </w:r>
      <w:r>
        <w:t xml:space="preserve"> prevents deletion;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cif_number</w:t>
      </w:r>
      <w:r>
        <w:t xml:space="preserve"> is denormalized for Operations queries.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note_version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schema.ts:605</w:t>
      </w:r>
      <w:r>
        <w:t xml:space="preserve">): Versioned content with soft deletes. FK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note_id → note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 DELETE CASCADE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author_employee_id → employee</w:t>
      </w:r>
      <w:r>
        <w:t xml:space="preserve"> (NOT NULL);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deleted_by_employee_id → employee</w:t>
      </w:r>
      <w:r>
        <w:t xml:space="preserve">. Unique constraint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uq_note_current_version (note_id, is_current)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NULLS NOT DISTINCT</w:t>
      </w:r>
      <w:r>
        <w:t xml:space="preserve"> enforces one current version per note.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encrypted_payload</w:t>
      </w:r>
      <w:r>
        <w:t xml:space="preserve"> holds confidential note bodies.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note_audit_log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schema.ts:630</w:t>
      </w:r>
      <w:r>
        <w:t xml:space="preserve">): All note operations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delete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restore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view</w:t>
      </w:r>
      <w:r>
        <w:t xml:space="preserve">). FKs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note_id → note</w:t>
      </w:r>
      <w:r>
        <w:t xml:space="preserve"> (cascade),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version_id → note_version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actor_employee_id → employee</w:t>
      </w:r>
      <w:r>
        <w:t xml:space="preserve"> (NOT NULL).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RBAC / roles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diagram-database-erd-6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privilege_level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schema.ts:654</w:t>
      </w:r>
      <w:r>
        <w:t xml:space="preserve">): Levels 1 to 4;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level</w:t>
      </w:r>
      <w:r>
        <w:t xml:space="preserve"> is the PK,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level_name</w:t>
      </w:r>
      <w:r>
        <w:t xml:space="preserve"> is unique.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schema.ts:662</w:t>
      </w:r>
      <w:r>
        <w:t xml:space="preserve">): Named roles.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role_name</w:t>
      </w:r>
      <w:r>
        <w:t xml:space="preserve"> unique;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privilege_level → privilege_level</w:t>
      </w:r>
      <w:r>
        <w:t xml:space="preserve"> (NOT NULL);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created_by → employee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permission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schema.ts:678</w:t>
      </w:r>
      <w:r>
        <w:t xml:space="preserve">): Resource/action permissions.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permission_code</w:t>
      </w:r>
      <w:r>
        <w:t xml:space="preserve"> unique; unique key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uq_permission_resource_action (resource, action)</w:t>
      </w:r>
      <w:r>
        <w:t xml:space="preserve">. Supports attribute-based access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is_attribute_based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attribute_config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nvarchar(max)</w:t>
      </w:r>
      <w:r>
        <w:t xml:space="preserve"> JSON).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 → privilege_level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role_permission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schema.ts:697</w:t>
      </w:r>
      <w:r>
        <w:t xml:space="preserve">): M:N role↔permission. Composite PK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(role_id, permission_id)</w:t>
      </w:r>
      <w:r>
        <w:t xml:space="preserve">; both FKs cascade on delete.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granted_by → employee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employee_role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schema.ts:709</w:t>
      </w:r>
      <w:r>
        <w:t xml:space="preserve">): M:N employee↔role. Composite PK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(employee_id, role_id)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</w:t>
      </w:r>
      <w:r>
        <w:t xml:space="preserve"> cascades;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→ employee</w:t>
      </w:r>
      <w:r>
        <w:t xml:space="preserve">. Supports effective/expiration dating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is_primary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saml_role_mapping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schema.ts:728</w:t>
      </w:r>
      <w:r>
        <w:t xml:space="preserve">): Maps a SAML role key to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saml_role_key</w:t>
      </w:r>
      <w:r>
        <w:t xml:space="preserve"> unique;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role_id → role</w:t>
      </w:r>
      <w:r>
        <w:t xml:space="preserve"> cascades;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sync_mode</w:t>
      </w:r>
      <w:r>
        <w:t xml:space="preserve"> defaults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initial</w:t>
      </w:r>
      <w:r>
        <w:t xml:space="preserve">. (Note: this is the persisted SSO→role mapping table; AD-group-name-convention resolution is additionally handled in application code, scoped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.)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role_audit_log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schema.ts:744</w:t>
      </w:r>
      <w:r>
        <w:t xml:space="preserve">): Compliance log of role/permission changes.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action_by → employee</w:t>
      </w:r>
      <w:r>
        <w:t xml:space="preserve"> is NOT NULL;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permission_id</w:t>
      </w:r>
      <w:r>
        <w:t xml:space="preserve"> are nullable FKs.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permission_denial_log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schema.ts:765</w:t>
      </w:r>
      <w:r>
        <w:t xml:space="preserve">): Records denied authorization attempts;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</w:t>
      </w:r>
      <w:r>
        <w:t xml:space="preserve"> (nullable).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User Management domain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1800225"/>
            <wp:effectExtent t="0" r="0" b="0" l="0"/>
            <wp:docPr id="1" name="diagram-database-erd-7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employee_status_history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schema.ts:785</w:t>
      </w:r>
      <w:r>
        <w:t xml:space="preserve">): Audit trail of employee status changes.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</w:t>
      </w:r>
      <w:r>
        <w:t xml:space="preserve"> cascades;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changed_by → employee</w:t>
      </w:r>
      <w:r>
        <w:t xml:space="preserve"> (NOT NULL).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employee_role_history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schema.ts:802</w:t>
      </w:r>
      <w:r>
        <w:t xml:space="preserve">): Audit trail of role assignments.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</w:t>
      </w:r>
      <w:r>
        <w:t xml:space="preserve"> cascades;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old_role_id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new_role_id</w:t>
      </w:r>
      <w:r>
        <w:t xml:space="preserve"> all reference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→ employee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source</w:t>
      </w:r>
      <w:r>
        <w:t xml:space="preserve"> (NOT NULL) records the origin (e.g. manual vs SAML);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saml_role_attribute</w:t>
      </w:r>
      <w:r>
        <w:t xml:space="preserve"> captures the raw claim when applicable.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role_change_request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schema.ts:825</w:t>
      </w:r>
      <w:r>
        <w:t xml:space="preserve">): Approval workflow for role changes.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</w:t>
      </w:r>
      <w:r>
        <w:t xml:space="preserve"> cascades;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current_role_id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requested_role_id → role</w:t>
      </w:r>
      <w:r>
        <w:t xml:space="preserve"> (requested is NOT NULL);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requested_by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reviewed_by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approved_by</w:t>
      </w:r>
      <w:r>
        <w:t xml:space="preserve"> all reference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status</w:t>
      </w:r>
      <w:r>
        <w:t xml:space="preserve"> defaults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pending</w:t>
      </w:r>
      <w:r>
        <w:t xml:space="preserve">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Audit domain</w:t>
      </w:r>
    </w:p>
    <w:p>
      <w:pPr>
        <w:spacing w:after="100" w:before="80"/>
        <w:jc w:val="center"/>
      </w:pPr>
      <w:r>
        <w:drawing>
          <wp:inline distT="0" distB="0" distL="0" distR="0">
            <wp:extent cx="4962525" cy="7620000"/>
            <wp:effectExtent t="0" r="0" b="0" l="0"/>
            <wp:docPr id="1" name="diagram-database-erd-8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Per-table 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audit_event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schema.ts:854</w:t>
      </w:r>
      <w:r>
        <w:t xml:space="preserve">): Cross-cutting application audit log for security/compliance events. Only FK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</w:t>
      </w:r>
      <w:r>
        <w:t xml:space="preserve"> (nullable, since some events have no authenticated actor).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source</w:t>
      </w:r>
      <w:r>
        <w:t xml:space="preserve"> is either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</w:t>
      </w:r>
      <w:r>
        <w:t xml:space="preserve">. Heavily indexed for reporting (see below).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Derived and denormalized columns</w:t>
      </w:r>
    </w:p>
    <w:p>
      <w:pPr>
        <w:spacing w:after="80" w:before="40"/>
      </w:pPr>
      <w:r>
        <w:t xml:space="preserve">The model uses several derived/denormalized columns to support search and dashboard read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Table.column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Nature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customer.full_name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Generated / derived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Omitted from inserts by the Zod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insertCustomerSchema</w:t>
            </w:r>
            <w:r>
              <w:t xml:space="preserve"> as a "Generated column, not manually inserted"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schema.ts:114,902</w:t>
            </w:r>
            <w:r>
              <w:t xml:space="preserve">). Used as the unified search target.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financial_transaction.account_number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Current join/filter source of truth for Operations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schema.ts:404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entity_contact.contact_type_cached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 cache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Cache of the linked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contact_info.contact_type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schema.ts:246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contact_history.employee_name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For display without a join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schema.ts:533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note.cif_number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 Jack Henry CIF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For Operations queries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schema.ts:586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note_version.author_employee_name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Author display name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schema.ts:612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note_audit_log.actor_employee_name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Actor display name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schema.ts:636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exact SQL Server mechanism that maintains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customer.full_name</w:t>
      </w:r>
      <w:r>
        <w:t xml:space="preserve"> (persisted computed column vs. trigger vs. application-populated).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only marks it as a derived column; the production DDL for this column was not located in the reviewed files.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Explicit constraints</w:t>
      </w:r>
    </w:p>
    <w:p>
      <w:pPr>
        <w:spacing w:after="80" w:before="40"/>
      </w:pPr>
      <w:r>
        <w:t xml:space="preserve">The only explicit CHECK constraint declared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check_note_one_target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Exactly one of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customer_id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</w:t>
            </w:r>
            <w:r>
              <w:t xml:space="preserve"> is non-null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schema.ts:598-601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Other business rules commonly assumed to be DB constraints are actually enforced elsewhere: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Enforced by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Individual-vs-business required name fields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Zod discriminated union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insertCustomerSchema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schema.ts:907-929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Debit-card expiry month 1-12, year ≥ current year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Zod validation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insertDebitCardSchema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schema.ts:1117-1124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Debit-card allowed account type; cardholder is a valid account owner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trigger(s)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External DDL (see the [CONFIRM] under Core Banking)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Notable UNIQUE constraints (from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region.region_code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branch.branch_code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employee.employee_number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employee.officer_code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employee.sso_subject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customer.tax_identifier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account.account_number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transaction_category.name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online_banking_user.login_id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role.role_name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permission.permission_code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saml_role_mapping.saml_role_key</w:t>
      </w:r>
      <w:r>
        <w:t xml:space="preserve">, plus the composite keys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unq_employee_branch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pk_customer_officer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pk_customer_sic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unq_account_sic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uq_permission_resource_action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unq_account_source_txn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uq_note_current_version</w:t>
      </w:r>
      <w:r>
        <w:t xml:space="preserve"> (nulls-not-distinct).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Index strategy</w:t>
      </w:r>
    </w:p>
    <w:p>
      <w:pPr>
        <w:spacing w:after="80" w:before="40"/>
      </w:pPr>
      <w:r>
        <w:t xml:space="preserve">All production indexes are B-tree nonclustered indexes on SQL Server. Representative indexes declared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and in the production performance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scripts/create_performance_indexes.sql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name lookup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IX_customer_name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(last_name, first_name)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scripts/create_performance_indexes.sql:52-53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by CIF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IX_customer_cif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jack_henry_cif_number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scripts/create_performance_indexes.sql:46-47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full-name search target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idx_customer_full_name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schema.ts:157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by type + 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IX_account_type_status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(account_type, account_status)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scripts/create_performance_indexes.sql:36-37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ownership by customer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IX_account_ownership_customer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scripts/create_performance_indexes.sql:26-27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primary query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idx_transaction_account_posting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(account_id, posting_date, transaction_id)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schema.ts:409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by account_number (Operations)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idx_transaction_account_number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schema.ts:422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dedup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unq_account_source_txn</w:t>
            </w:r>
            <w:r>
              <w:t xml:space="preserve"> (unique)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(account_id, source_system, source_transaction_id)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schema.ts:424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Audit event reporting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idx_audit_event_occurred_at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idx_audit_event_employee_occurred</w:t>
            </w:r>
            <w:r>
              <w:t xml:space="preserve">, etc.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various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schema.ts:880-887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There is no index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debit_card_id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; that column does not exist.</w:t>
      </w:r>
    </w:p>
    <w:p>
      <w:pPr>
        <w:pStyle w:val="Heading3"/>
      </w:pPr>
      <w:r>
        <w:t xml:space="preserve">Customer search</w:t>
      </w:r>
    </w:p>
    <w:p>
      <w:pPr>
        <w:spacing w:after="80" w:before="40"/>
      </w:pPr>
      <w:r>
        <w:t xml:space="preserve">Customer/household search runs through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server/adapters/search/SqlServerSearchProvider.ts</w:t>
      </w:r>
      <w:r>
        <w:t xml:space="preserve">, which is the production path: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Exact / substring matches</w:t>
      </w:r>
      <w:r>
        <w:t xml:space="preserve"> (name, government ID, Silverlake ID, Jack Henry CIF) use a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substring match with an explicit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COLLATE SQL_Latin1_General_CP1_CI_AS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SqlServerSearchProvider.ts:224,274,306,338</w:t>
      </w:r>
      <w:r>
        <w:t xml:space="preserve">). This is </w:t>
      </w:r>
      <w:r>
        <w:rPr>
          <w:b/>
          <w:bCs/>
        </w:rPr>
        <w:t xml:space="preserve">not</w:t>
      </w:r>
      <w:r>
        <w:t xml:space="preserve"> full-text/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CONTAINS()</w:t>
      </w:r>
      <w:r>
        <w:t xml:space="preserve">, and not phonetic.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Fuzzy name matching</w:t>
      </w:r>
      <w:r>
        <w:t xml:space="preserve">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STRING_SIMILARITY(full_name, @query)</w:t>
      </w:r>
      <w:r>
        <w:t xml:space="preserve"> on SQL Server 2022+ (version 16+), falling back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SOUNDEX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DIFFERENCE</w:t>
      </w:r>
      <w:r>
        <w:t xml:space="preserve"> on SQL Server 2019 and earlier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SqlServerSearchProvider.ts:114-129,157,194</w:t>
      </w:r>
      <w:r>
        <w:t xml:space="preserve">). The provider detects the engine version at runtime and chooses the strategy accordingly.</w:t>
      </w:r>
    </w:p>
    <w:p>
      <w:pPr>
        <w:spacing w:after="60"/>
      </w:pPr>
    </w:p>
    <w:p>
      <w:pPr>
        <w:spacing w:after="80" w:before="40"/>
      </w:pPr>
      <w:r>
        <w:t xml:space="preserve">There is no full-text catalog and no fuzzy-search index maintained in the production database; fuzzy matching is computed at query time over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full_name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Change management</w:t>
      </w:r>
    </w:p>
    <w:p>
      <w:pPr>
        <w:spacing w:after="80" w:before="40"/>
      </w:pPr>
      <w:r>
        <w:t xml:space="preserve">There is no numbered Drizzle migration workflow in production. The repo contains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migrations/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drizzle/</w:t>
      </w:r>
      <w:r>
        <w:t xml:space="preserve"> directory and no ordered migration files. Production SQL Server schema is applied via standalone </w:t>
      </w:r>
      <w:r>
        <w:rPr>
          <w:b/>
          <w:bCs/>
        </w:rPr>
        <w:t xml:space="preserve">idempotent</w:t>
      </w:r>
      <w:r>
        <w:t xml:space="preserve"> SQL scripts, for example: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scripts/create_audit_event_table.sql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scripts/create_sessions_table.sql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scripts/create_performance_indexes.sql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scripts/ensure_rbac_provenance_columns.sql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scripts/widen_employee_last_seen_saml_role.sql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additional DDL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Changes/*.sql</w:t>
      </w:r>
      <w:r>
        <w:t xml:space="preserve">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financial_transaction_add_account_number.sql</w:t>
      </w:r>
      <w:r>
        <w:t xml:space="preserve">)</w:t>
      </w:r>
    </w:p>
    <w:p>
      <w:pPr>
        <w:spacing w:after="60"/>
      </w:pPr>
    </w:p>
    <w:p>
      <w:pPr>
        <w:spacing w:after="80" w:before="40"/>
      </w:pPr>
      <w:r>
        <w:t xml:space="preserve">These scripts guard every object with existence checks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IF NOT EXISTS ...</w:t>
      </w:r>
      <w:r>
        <w:t xml:space="preserve">) so they can be re-run safely across the four environments (dev, test, preprod, prod).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authoritative ordering/runbook for applying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 DDL to a fresh SQL Server database, and which scripts are baseline vs. incremental.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Performance monitoring</w:t>
      </w:r>
    </w:p>
    <w:p>
      <w:pPr>
        <w:spacing w:after="80" w:before="40"/>
      </w:pPr>
      <w:r>
        <w:t xml:space="preserve">Recommended SQL Server monitoring for the largest tables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contact_history</w:t>
      </w:r>
      <w:r>
        <w:t xml:space="preserve">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Index fragmentation / physical stats (run in the ClientIQ database)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OBJECT_NAME(ips.object_id)      AS table_name,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i.name                          AS index_name,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ips.avg_fragmentation_in_percent,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ips.page_count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sys.dm_db_index_physical_stats(DB_ID(), NULL, NULL, NULL, 'LIMITED') ips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sys.indexes i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ips.object_id = i.object_id AND ips.index_id = i.index_id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ips.page_count &gt; 1000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ips.avg_fragmentation_in_percent DESC;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Row counts / space by table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t.name                          AS table_name,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SUM(p.rows)                     AS row_count,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SUM(a.total_pages) * 8 / 1024   AS total_mb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sys.tables 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sys.partitions p  ON t.object_id = p.object_id AND p.index_id IN (0, 1)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sys.allocation_units a ON p.partition_id = a.container_id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t.name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total_mb DESC;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Growth projections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Expected row-count and growth-rate projections per table (e.g.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contact_history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). These are capacity-planning inputs that are not derivable from code and must be supplied and dated by the data/operations owner. Treat any prior figures as illustrative only until confirmed.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Summary statistics</w:t>
      </w:r>
    </w:p>
    <w:p>
      <w:pPr>
        <w:spacing w:after="80" w:before="40"/>
      </w:pPr>
      <w:r>
        <w:t xml:space="preserve">Metrics recomputed against the current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(40-table schema):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Total tables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Count of table definitions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shared/schema.ts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Junction / association tables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entity_contact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account_sic_code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Reference / lookup tables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Explicit CHECK constraints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check_note_one_target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Self-referencing tables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note_category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</w:t>
            </w:r>
            <w:r>
              <w:t xml:space="preserve"> (no FK)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Polymorphic (no-FK) links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entity_address.entity_id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entity_contact.entity_id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 engine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2019+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Production, all environments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Documentation version.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reports application version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1.0.0</w:t>
      </w:r>
      <w:r>
        <w:t xml:space="preserve">; a separate doc-version has not been established for this ERD.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Database ERD: ClientIQ / Banking Client 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0fb6cafc42948ddf6b6423854ce82930fcba7a.png"/><Relationship Id="rId10" Type="http://schemas.openxmlformats.org/officeDocument/2006/relationships/image" Target="media/31727936ea91b6f42d0c27a88764e91ab029ab4e.png"/><Relationship Id="rId11" Type="http://schemas.openxmlformats.org/officeDocument/2006/relationships/image" Target="media/6ed871f61faa98720aabb2d8cbecbaef7ffceab0.png"/><Relationship Id="rId12" Type="http://schemas.openxmlformats.org/officeDocument/2006/relationships/image" Target="media/31bd17759943a4fba3957605261f009b780e052b.png"/><Relationship Id="rId13" Type="http://schemas.openxmlformats.org/officeDocument/2006/relationships/image" Target="media/7f042d74c52a41a7f19d87872cea2d7ba634a5e6.png"/><Relationship Id="rId14" Type="http://schemas.openxmlformats.org/officeDocument/2006/relationships/image" Target="media/33d802ccb4bd73d58878b91858a021bca0bf013c.png"/><Relationship Id="rId15" Type="http://schemas.openxmlformats.org/officeDocument/2006/relationships/image" Target="media/df1931e9cbb04a541aa0367598c828e8c62a32e3.png"/><Relationship Id="rId16" Type="http://schemas.openxmlformats.org/officeDocument/2006/relationships/image" Target="media/778d656333b78cd2eb9503850020a303514a962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ERD: ClientIQ / Banking Client 360</dc:title>
  <dc:creator>ClientIQ Docs</dc:creator>
  <cp:lastModifiedBy>Un-named</cp:lastModifiedBy>
  <cp:revision>1</cp:revision>
  <dcterms:created xsi:type="dcterms:W3CDTF">2026-07-02T22:15:15.249Z</dcterms:created>
  <dcterms:modified xsi:type="dcterms:W3CDTF">2026-07-02T22:15:15.249Z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