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ClientIQ: System Architecture Document</w:t>
      </w:r>
    </w:p>
    <w:p>
      <w:pPr>
        <w:spacing w:after="80" w:before="40"/>
      </w:pPr>
      <w:r>
        <w:rPr>
          <w:b/>
          <w:bCs/>
        </w:rPr>
        <w:t xml:space="preserve">Farmers and Merchants Bank (FMB)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Field</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Value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Document Classification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Internal - Confidential</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Customer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Farmers and Merchants Bank</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Version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1.0</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November 13, 2025</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Document Owner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Enterprise Architecture &amp; Engineering</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Distribution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FMB Technology Leadership, Engineering Teams, Solution Architects</w:t>
            </w:r>
          </w:p>
        </w:tc>
      </w:tr>
    </w:tbl>
    <w:p>
      <w:pPr>
        <w:spacing w:after="80"/>
      </w:pPr>
    </w:p>
    <w:p>
      <w:pPr>
        <w:pStyle w:val="Heading2"/>
      </w:pPr>
      <w:r>
        <w:t xml:space="preserve">Executive Summary</w:t>
      </w:r>
    </w:p>
    <w:p>
      <w:pPr>
        <w:spacing w:after="80" w:before="40"/>
      </w:pPr>
      <w:r>
        <w:t xml:space="preserve">The ClientIQ platform is an enterprise-grade customer intelligence system deployed on Farmers and Merchants Bank's on-premise Windows Server infrastructure. The system provides a unified 360-degree view of customer relationships, accounts, transactions, and household information, consolidating data from FMB's System of Record (SOR) through the Vault and SPOT data platforms into a high-performance application database.</w:t>
      </w:r>
    </w:p>
    <w:p>
      <w:pPr>
        <w:pBdr>
          <w:bottom w:val="single" w:color="333333" w:sz="6" w:space="1"/>
        </w:pBdr>
        <w:spacing w:after="80" w:before="80"/>
      </w:pPr>
    </w:p>
    <w:p>
      <w:pPr>
        <w:pStyle w:val="Heading2"/>
      </w:pPr>
      <w:r>
        <w:t xml:space="preserve">1. Introduction</w:t>
      </w:r>
    </w:p>
    <w:p>
      <w:pPr>
        <w:pStyle w:val="Heading3"/>
      </w:pPr>
      <w:r>
        <w:t xml:space="preserve">1.1 System Overview</w:t>
      </w:r>
    </w:p>
    <w:p>
      <w:pPr>
        <w:spacing w:after="80" w:before="40"/>
      </w:pPr>
      <w:r>
        <w:t xml:space="preserve">The ClientIQ platform consolidates customer data from FMB's System of Record through the Vault and SPOT data platforms, delivering a comprehensive 360-degree view of customer relationships, accounts, transactions, and household information. The system is designed specifically for FMB's on-premise Windows Server infrastructure, using Microsoft SQL Server as the primary data store.</w:t>
      </w:r>
    </w:p>
    <w:p>
      <w:pPr>
        <w:spacing w:after="80" w:before="40"/>
        <w:jc w:val="center"/>
      </w:pPr>
      <w:r>
        <w:drawing>
          <wp:inline distT="0" distB="0" distL="0" distR="0">
            <wp:extent cx="6286500" cy="4143375"/>
            <wp:effectExtent t="0" r="0" b="0" l="0"/>
            <wp:docPr id="1" name="img-images-architecture-layered-png" descr="ClientIQ layered architecture. Bands top to bottom: Web / Edge (IIS on Windows Server, TLS 1.3 termination and reverse proxy to Node on port 5000), Presentation (React 18 + MUI SPA, Wouter routing, TanStack Query), Application and Business (middleware chain, REST API, domain services), Data Access (row-to-DTO adapters, SqlServerSearchProvider, parameterized mssql), and Data (the SOR to VAULT to SPOT to ClientIQ SQL Server daily data-load flow). The RSA SecurID / Active Directory identity provider connects to the Application tier, and an Observability element (audit tables, application logs, health checks, alerting) spans the Data Access and Data tiers." title="ClientIQ layered architecture. Bands top to bottom: Web / Edge (IIS on Windows Server, TLS 1.3 termination and reverse proxy to Node on port 5000), Presentation (React 18 + MUI SPA, Wouter routing, TanStack Query), Application and Business (middleware chain, REST API, domain services), Data Access (row-to-DTO adapters, SqlServerSearchProvider, parameterized mssql), and Data (the SOR to VAULT to SPOT to ClientIQ SQL Server daily data-load flow). The RSA SecurID / Active Directory identity provider connects to the Application tier, and an Observability element (audit tables, application logs, health checks, alerting) spans the Data Access and Data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143375"/>
                    </a:xfrm>
                    <a:prstGeom prst="rect">
                      <a:avLst/>
                    </a:prstGeom>
                  </pic:spPr>
                </pic:pic>
              </a:graphicData>
            </a:graphic>
          </wp:inline>
        </w:drawing>
      </w:r>
    </w:p>
    <w:p>
      <w:pPr>
        <w:spacing w:after="80" w:before="40"/>
      </w:pPr>
      <w:r>
        <w:rPr>
          <w:b/>
          <w:bCs/>
        </w:rPr>
        <w:t xml:space="preserve">Core Capabilities:</w:t>
      </w:r>
    </w:p>
    <w:p>
      <w:pPr>
        <w:pStyle w:val="ListParagraph"/>
        <w:numPr>
          <w:ilvl w:val="0"/>
          <w:numId w:val="2"/>
        </w:numPr>
        <w:spacing w:after="20" w:before="0"/>
      </w:pPr>
      <w:r>
        <w:rPr>
          <w:b/>
          <w:bCs/>
        </w:rPr>
        <w:t xml:space="preserve">Customer Intelligence:</w:t>
      </w:r>
      <w:r>
        <w:t xml:space="preserve"> Unified customer profiles with household relationships, account aggregation, and transaction history</w:t>
      </w:r>
    </w:p>
    <w:p>
      <w:pPr>
        <w:pStyle w:val="ListParagraph"/>
        <w:numPr>
          <w:ilvl w:val="0"/>
          <w:numId w:val="2"/>
        </w:numPr>
        <w:spacing w:after="20" w:before="0"/>
      </w:pPr>
      <w:r>
        <w:rPr>
          <w:b/>
          <w:bCs/>
        </w:rPr>
        <w:t xml:space="preserve">Customer Data Management:</w:t>
      </w:r>
      <w:r>
        <w:t xml:space="preserve"> Customer information viewing with support for individual, business, and trust customer types</w:t>
      </w:r>
    </w:p>
    <w:p>
      <w:pPr>
        <w:pStyle w:val="ListParagraph"/>
        <w:numPr>
          <w:ilvl w:val="0"/>
          <w:numId w:val="2"/>
        </w:numPr>
        <w:spacing w:after="20" w:before="0"/>
      </w:pPr>
      <w:r>
        <w:rPr>
          <w:b/>
          <w:bCs/>
        </w:rPr>
        <w:t xml:space="preserve">Account Management:</w:t>
      </w:r>
      <w:r>
        <w:t xml:space="preserve"> Account viewing with multi-owner support, debit card information, and transaction history</w:t>
      </w:r>
    </w:p>
    <w:p>
      <w:pPr>
        <w:pStyle w:val="ListParagraph"/>
        <w:numPr>
          <w:ilvl w:val="0"/>
          <w:numId w:val="2"/>
        </w:numPr>
        <w:spacing w:after="20" w:before="0"/>
      </w:pPr>
      <w:r>
        <w:rPr>
          <w:b/>
          <w:bCs/>
        </w:rPr>
        <w:t xml:space="preserve">Search and Discovery:</w:t>
      </w:r>
      <w:r>
        <w:t xml:space="preserve"> Fast customer lookup by name, tax id, or core-banking identifier, with relevance indicators</w:t>
      </w:r>
    </w:p>
    <w:p>
      <w:pPr>
        <w:pStyle w:val="ListParagraph"/>
        <w:numPr>
          <w:ilvl w:val="0"/>
          <w:numId w:val="2"/>
        </w:numPr>
        <w:spacing w:after="20" w:before="0"/>
      </w:pPr>
      <w:r>
        <w:rPr>
          <w:b/>
          <w:bCs/>
        </w:rPr>
        <w:t xml:space="preserve">Customer Notes:</w:t>
      </w:r>
      <w:r>
        <w:t xml:space="preserve"> Full CRUD operations on customer notes with versioning and audit trails</w:t>
      </w:r>
    </w:p>
    <w:p>
      <w:pPr>
        <w:spacing w:after="60"/>
      </w:pPr>
    </w:p>
    <w:p>
      <w:pPr>
        <w:spacing w:after="80" w:before="40"/>
      </w:pPr>
      <w:r>
        <w:rPr>
          <w:b/>
          <w:bCs/>
        </w:rPr>
        <w:t xml:space="preserve">Technical Foundation:</w:t>
      </w:r>
    </w:p>
    <w:p>
      <w:pPr>
        <w:pStyle w:val="ListParagraph"/>
        <w:numPr>
          <w:ilvl w:val="0"/>
          <w:numId w:val="2"/>
        </w:numPr>
        <w:spacing w:after="20" w:before="0"/>
      </w:pPr>
      <w:r>
        <w:t xml:space="preserve">React 18 + TypeScript single-page application</w:t>
      </w:r>
    </w:p>
    <w:p>
      <w:pPr>
        <w:pStyle w:val="ListParagraph"/>
        <w:numPr>
          <w:ilvl w:val="0"/>
          <w:numId w:val="2"/>
        </w:numPr>
        <w:spacing w:after="20" w:before="0"/>
      </w:pPr>
      <w:r>
        <w:t xml:space="preserve">Express.js REST API layer hosted on Node.js (Windows Server)</w:t>
      </w:r>
    </w:p>
    <w:p>
      <w:pPr>
        <w:pStyle w:val="ListParagraph"/>
        <w:numPr>
          <w:ilvl w:val="0"/>
          <w:numId w:val="2"/>
        </w:numPr>
        <w:spacing w:after="20" w:before="0"/>
      </w:pPr>
      <w:r>
        <w:t xml:space="preserve">Microsoft SQL Server 2019+ with Always On Availability Groups (production)</w:t>
      </w:r>
    </w:p>
    <w:p>
      <w:pPr>
        <w:pStyle w:val="ListParagraph"/>
        <w:numPr>
          <w:ilvl w:val="0"/>
          <w:numId w:val="2"/>
        </w:numPr>
        <w:spacing w:after="20" w:before="0"/>
      </w:pPr>
      <w:r>
        <w:t xml:space="preserve">RSA SAML 2.0 SSO authentication (preprod and production)</w:t>
      </w:r>
    </w:p>
    <w:p>
      <w:pPr>
        <w:pStyle w:val="ListParagraph"/>
        <w:numPr>
          <w:ilvl w:val="0"/>
          <w:numId w:val="2"/>
        </w:numPr>
        <w:spacing w:after="20" w:before="0"/>
      </w:pPr>
      <w:r>
        <w:t xml:space="preserve">IIS reverse proxy for TLS termination and load balancing</w:t>
      </w:r>
    </w:p>
    <w:p>
      <w:pPr>
        <w:spacing w:after="60"/>
      </w:pPr>
    </w:p>
    <w:p>
      <w:pPr>
        <w:pStyle w:val="Heading3"/>
      </w:pPr>
      <w:r>
        <w:t xml:space="preserve">1.2 High Level Architecture Overview</w:t>
      </w:r>
    </w:p>
    <w:p>
      <w:pPr>
        <w:spacing w:after="80" w:before="40"/>
      </w:pPr>
      <w:r>
        <w:t xml:space="preserve">The solution is built as a responsive web application that supports Single Sign-On (SSO) for secure access. The application architecture is organized into multiple logical layers, fronted by IIS and backed by SQL Server, with data delivered from the FMB core-banking pipeline:</w:t>
      </w:r>
    </w:p>
    <w:p>
      <w:pPr>
        <w:pStyle w:val="ListParagraph"/>
        <w:numPr>
          <w:ilvl w:val="0"/>
          <w:numId w:val="2"/>
        </w:numPr>
        <w:spacing w:after="20" w:before="0"/>
      </w:pPr>
      <w:r>
        <w:rPr>
          <w:b/>
          <w:bCs/>
        </w:rPr>
        <w:t xml:space="preserve">Interface Layer:</w:t>
      </w:r>
      <w:r>
        <w:t xml:space="preserve"> Web user interface supporting responsive design and secure client interactions.</w:t>
      </w:r>
    </w:p>
    <w:p>
      <w:pPr>
        <w:pStyle w:val="ListParagraph"/>
        <w:numPr>
          <w:ilvl w:val="0"/>
          <w:numId w:val="2"/>
        </w:numPr>
        <w:spacing w:after="20" w:before="0"/>
      </w:pPr>
      <w:r>
        <w:rPr>
          <w:b/>
          <w:bCs/>
        </w:rPr>
        <w:t xml:space="preserve">Application Services Layer:</w:t>
      </w:r>
      <w:r>
        <w:t xml:space="preserve"> Implements business logic for client data presentation, entitlement enforcement, and user management.</w:t>
      </w:r>
    </w:p>
    <w:p>
      <w:pPr>
        <w:pStyle w:val="ListParagraph"/>
        <w:numPr>
          <w:ilvl w:val="0"/>
          <w:numId w:val="2"/>
        </w:numPr>
        <w:spacing w:after="20" w:before="0"/>
      </w:pPr>
      <w:r>
        <w:rPr>
          <w:b/>
          <w:bCs/>
        </w:rPr>
        <w:t xml:space="preserve">Integration Layer:</w:t>
      </w:r>
      <w:r>
        <w:t xml:space="preserve"> Provides secure API and service connectivity with JHA (Jack Henry) core banking and supporting systems.</w:t>
      </w:r>
    </w:p>
    <w:p>
      <w:pPr>
        <w:pStyle w:val="ListParagraph"/>
        <w:numPr>
          <w:ilvl w:val="0"/>
          <w:numId w:val="2"/>
        </w:numPr>
        <w:spacing w:after="20" w:before="0"/>
      </w:pPr>
      <w:r>
        <w:rPr>
          <w:b/>
          <w:bCs/>
        </w:rPr>
        <w:t xml:space="preserve">Data Layer:</w:t>
      </w:r>
      <w:r>
        <w:t xml:space="preserve"> Consumes curated data from Vault and SPOT sources and supports data engineering functions for performance, enrichment, and governance.</w:t>
      </w:r>
    </w:p>
    <w:p>
      <w:pPr>
        <w:spacing w:after="60"/>
      </w:pPr>
    </w:p>
    <w:p>
      <w:pPr>
        <w:spacing w:after="80" w:before="40"/>
      </w:pPr>
      <w:r>
        <w:t xml:space="preserve">The architecture includes foundational components for security, reliability, and operational excellence:</w:t>
      </w:r>
    </w:p>
    <w:p>
      <w:pPr>
        <w:pStyle w:val="ListParagraph"/>
        <w:numPr>
          <w:ilvl w:val="0"/>
          <w:numId w:val="2"/>
        </w:numPr>
        <w:spacing w:after="20" w:before="0"/>
      </w:pPr>
      <w:r>
        <w:rPr>
          <w:b/>
          <w:bCs/>
        </w:rPr>
        <w:t xml:space="preserve">Security:</w:t>
      </w:r>
      <w:r>
        <w:t xml:space="preserve"> SSO integration, TLS 1.3 encryption, and user entitlements using RBAC and ABAC models.</w:t>
      </w:r>
    </w:p>
    <w:p>
      <w:pPr>
        <w:pStyle w:val="ListParagraph"/>
        <w:numPr>
          <w:ilvl w:val="0"/>
          <w:numId w:val="2"/>
        </w:numPr>
        <w:spacing w:after="20" w:before="0"/>
      </w:pPr>
      <w:r>
        <w:rPr>
          <w:b/>
          <w:bCs/>
        </w:rPr>
        <w:t xml:space="preserve">Observability:</w:t>
      </w:r>
      <w:r>
        <w:t xml:space="preserve"> Centralized logging, application health checks, and alerting for proactive monitoring.</w:t>
      </w:r>
    </w:p>
    <w:p>
      <w:pPr>
        <w:pStyle w:val="ListParagraph"/>
        <w:numPr>
          <w:ilvl w:val="0"/>
          <w:numId w:val="2"/>
        </w:numPr>
        <w:spacing w:after="20" w:before="0"/>
      </w:pPr>
      <w:r>
        <w:rPr>
          <w:b/>
          <w:bCs/>
        </w:rPr>
        <w:t xml:space="preserve">DevSecOps Enablement:</w:t>
      </w:r>
      <w:r>
        <w:t xml:space="preserve"> Automated CI/CD pipelines, code scanning (SAST/DAST), and controlled environment promotion for safe and efficient delivery.</w:t>
      </w:r>
    </w:p>
    <w:p>
      <w:pPr>
        <w:spacing w:after="60"/>
      </w:pPr>
    </w:p>
    <w:p>
      <w:pPr>
        <w:pStyle w:val="Heading3"/>
      </w:pPr>
      <w:r>
        <w:t xml:space="preserve">1.3 Technical Architecture</w:t>
      </w:r>
    </w:p>
    <w:p>
      <w:pPr>
        <w:spacing w:after="80" w:before="40"/>
      </w:pPr>
      <w:r>
        <w:rPr>
          <w:b/>
          <w:bCs/>
        </w:rPr>
        <w:t xml:space="preserve">Layered Architecture Pattern:</w:t>
      </w:r>
      <w:r>
        <w:t xml:space="preserve"> The system employs a clear separation of concerns across five layers:</w:t>
      </w:r>
    </w:p>
    <w:p>
      <w:pPr>
        <w:pStyle w:val="ListParagraph"/>
        <w:numPr>
          <w:ilvl w:val="0"/>
          <w:numId w:val="3"/>
        </w:numPr>
        <w:spacing w:after="20" w:before="0"/>
      </w:pPr>
      <w:r>
        <w:rPr>
          <w:b/>
          <w:bCs/>
        </w:rPr>
        <w:t xml:space="preserve">Presentation Layer:</w:t>
      </w:r>
      <w:r>
        <w:t xml:space="preserve"> React components with Material-UI, responsive design</w:t>
      </w:r>
    </w:p>
    <w:p>
      <w:pPr>
        <w:pStyle w:val="ListParagraph"/>
        <w:numPr>
          <w:ilvl w:val="0"/>
          <w:numId w:val="3"/>
        </w:numPr>
        <w:spacing w:after="20" w:before="0"/>
      </w:pPr>
      <w:r>
        <w:rPr>
          <w:b/>
          <w:bCs/>
        </w:rPr>
        <w:t xml:space="preserve">API Layer:</w:t>
      </w:r>
      <w:r>
        <w:t xml:space="preserve"> RESTful endpoints (unversioned today; URL versioning is a roadmap item, see §5.2)</w:t>
      </w:r>
    </w:p>
    <w:p>
      <w:pPr>
        <w:pStyle w:val="ListParagraph"/>
        <w:numPr>
          <w:ilvl w:val="0"/>
          <w:numId w:val="3"/>
        </w:numPr>
        <w:spacing w:after="20" w:before="0"/>
      </w:pPr>
      <w:r>
        <w:rPr>
          <w:b/>
          <w:bCs/>
        </w:rPr>
        <w:t xml:space="preserve">Business Logic Layer:</w:t>
      </w:r>
      <w:r>
        <w:t xml:space="preserve"> Service adapters with PII masking, permission checks</w:t>
      </w:r>
    </w:p>
    <w:p>
      <w:pPr>
        <w:pStyle w:val="ListParagraph"/>
        <w:numPr>
          <w:ilvl w:val="0"/>
          <w:numId w:val="3"/>
        </w:numPr>
        <w:spacing w:after="20" w:before="0"/>
      </w:pPr>
      <w:r>
        <w:rPr>
          <w:b/>
          <w:bCs/>
        </w:rPr>
        <w:t xml:space="preserve">Data Access Layer:</w:t>
      </w:r>
      <w:r>
        <w:t xml:space="preserve"> SQL Server parameterized queries, connection pooling</w:t>
      </w:r>
    </w:p>
    <w:p>
      <w:pPr>
        <w:pStyle w:val="ListParagraph"/>
        <w:numPr>
          <w:ilvl w:val="0"/>
          <w:numId w:val="3"/>
        </w:numPr>
        <w:spacing w:after="20" w:before="0"/>
      </w:pPr>
      <w:r>
        <w:rPr>
          <w:b/>
          <w:bCs/>
        </w:rPr>
        <w:t xml:space="preserve">Integration Layer:</w:t>
      </w:r>
      <w:r>
        <w:t xml:space="preserve"> Scheduled data loads (SOR to Vault to SPOT), SAML authentication</w:t>
      </w:r>
    </w:p>
    <w:p>
      <w:pPr>
        <w:spacing w:after="60"/>
      </w:pPr>
    </w:p>
    <w:p>
      <w:pPr>
        <w:spacing w:after="80" w:before="40"/>
      </w:pPr>
      <w:r>
        <w:rPr>
          <w:b/>
          <w:bCs/>
        </w:rPr>
        <w:t xml:space="preserve">Architectural Patterns:</w:t>
      </w:r>
    </w:p>
    <w:p>
      <w:pPr>
        <w:pStyle w:val="ListParagraph"/>
        <w:numPr>
          <w:ilvl w:val="0"/>
          <w:numId w:val="2"/>
        </w:numPr>
        <w:spacing w:after="20" w:before="0"/>
      </w:pPr>
      <w:r>
        <w:rPr>
          <w:b/>
          <w:bCs/>
        </w:rPr>
        <w:t xml:space="preserve">DTO Pattern:</w:t>
      </w:r>
      <w:r>
        <w:t xml:space="preserve"> Data Transfer Objects with PII masking via customer adapters</w:t>
      </w:r>
    </w:p>
    <w:p>
      <w:pPr>
        <w:pStyle w:val="ListParagraph"/>
        <w:numPr>
          <w:ilvl w:val="0"/>
          <w:numId w:val="2"/>
        </w:numPr>
        <w:spacing w:after="20" w:before="0"/>
      </w:pPr>
      <w:r>
        <w:rPr>
          <w:b/>
          <w:bCs/>
        </w:rPr>
        <w:t xml:space="preserve">Data Pipeline:</w:t>
      </w:r>
      <w:r>
        <w:t xml:space="preserve"> Scheduled data loads from SOR to Vault to SPOT to App DB (initial bulk plus daily deltas)</w:t>
      </w:r>
    </w:p>
    <w:p>
      <w:pPr>
        <w:pStyle w:val="ListParagraph"/>
        <w:numPr>
          <w:ilvl w:val="0"/>
          <w:numId w:val="2"/>
        </w:numPr>
        <w:spacing w:after="20" w:before="0"/>
      </w:pPr>
      <w:r>
        <w:rPr>
          <w:b/>
          <w:bCs/>
        </w:rPr>
        <w:t xml:space="preserve">Data Access:</w:t>
      </w:r>
      <w:r>
        <w:t xml:space="preserve"> Raw parameterized </w:t>
      </w:r>
      <w:r>
        <w:rPr>
          <w:rFonts w:ascii="Consolas" w:cs="Consolas" w:eastAsia="Consolas" w:hAnsi="Consolas"/>
          <w:sz w:val="20"/>
          <w:szCs w:val="20"/>
          <w:shd w:fill="EEF0F2" w:val="clear"/>
        </w:rPr>
        <w:t xml:space="preserve">mssql</w:t>
      </w:r>
      <w:r>
        <w:t xml:space="preserve"> queries against SQL Server (no stored-procedure application layer)</w:t>
      </w:r>
    </w:p>
    <w:p>
      <w:pPr>
        <w:pStyle w:val="ListParagraph"/>
        <w:numPr>
          <w:ilvl w:val="0"/>
          <w:numId w:val="2"/>
        </w:numPr>
        <w:spacing w:after="20" w:before="0"/>
      </w:pPr>
      <w:r>
        <w:rPr>
          <w:b/>
          <w:bCs/>
        </w:rPr>
        <w:t xml:space="preserve">Session Management:</w:t>
      </w:r>
      <w:r>
        <w:t xml:space="preserve"> SQL Server session store with secure cookie configuration</w:t>
      </w:r>
    </w:p>
    <w:p>
      <w:pPr>
        <w:spacing w:after="60"/>
      </w:pPr>
    </w:p>
    <w:p>
      <w:pPr>
        <w:spacing w:after="80" w:before="40"/>
      </w:pPr>
      <w:r>
        <w:rPr>
          <w:b/>
          <w:bCs/>
        </w:rPr>
        <w:t xml:space="preserve">Technology Strategy:</w:t>
      </w:r>
    </w:p>
    <w:p>
      <w:pPr>
        <w:pStyle w:val="ListParagraph"/>
        <w:numPr>
          <w:ilvl w:val="0"/>
          <w:numId w:val="2"/>
        </w:numPr>
        <w:spacing w:after="20" w:before="0"/>
      </w:pPr>
      <w:r>
        <w:rPr>
          <w:b/>
          <w:bCs/>
        </w:rPr>
        <w:t xml:space="preserve">Windows Integration:</w:t>
      </w:r>
      <w:r>
        <w:t xml:space="preserve"> Node.js hosted on Windows Server with an IIS reverse proxy</w:t>
      </w:r>
    </w:p>
    <w:p>
      <w:pPr>
        <w:pStyle w:val="ListParagraph"/>
        <w:numPr>
          <w:ilvl w:val="0"/>
          <w:numId w:val="2"/>
        </w:numPr>
        <w:spacing w:after="20" w:before="0"/>
      </w:pPr>
      <w:r>
        <w:rPr>
          <w:b/>
          <w:bCs/>
        </w:rPr>
        <w:t xml:space="preserve">SQL Server Optimization:</w:t>
      </w:r>
      <w:r>
        <w:t xml:space="preserve"> Non-clustered indexes on search and join columns, query optimization, Always On AG in production</w:t>
      </w:r>
    </w:p>
    <w:p>
      <w:pPr>
        <w:pStyle w:val="ListParagraph"/>
        <w:numPr>
          <w:ilvl w:val="0"/>
          <w:numId w:val="2"/>
        </w:numPr>
        <w:spacing w:after="20" w:before="0"/>
      </w:pPr>
      <w:r>
        <w:rPr>
          <w:b/>
          <w:bCs/>
        </w:rPr>
        <w:t xml:space="preserve">Scalability:</w:t>
      </w:r>
      <w:r>
        <w:t xml:space="preserve"> Horizontal scaling of the application tier behind IIS in production</w:t>
      </w:r>
    </w:p>
    <w:p>
      <w:pPr>
        <w:pStyle w:val="ListParagraph"/>
        <w:numPr>
          <w:ilvl w:val="0"/>
          <w:numId w:val="2"/>
        </w:numPr>
        <w:spacing w:after="20" w:before="0"/>
      </w:pPr>
      <w:r>
        <w:rPr>
          <w:b/>
          <w:bCs/>
        </w:rPr>
        <w:t xml:space="preserve">Developer Experience:</w:t>
      </w:r>
      <w:r>
        <w:t xml:space="preserve"> TypeScript-first development, automated testing, CI/CD</w:t>
      </w:r>
    </w:p>
    <w:p>
      <w:pPr>
        <w:spacing w:after="60"/>
      </w:pPr>
    </w:p>
    <w:p>
      <w:pPr>
        <w:pStyle w:val="Heading3"/>
      </w:pPr>
      <w:r>
        <w:t xml:space="preserve">1.4 Security Posture</w:t>
      </w:r>
    </w:p>
    <w:p>
      <w:pPr>
        <w:spacing w:after="80" w:before="40"/>
      </w:pPr>
      <w:r>
        <w:t xml:space="preserve">The platform implements defense-in-depth security controls following banking industry best practices:</w:t>
      </w:r>
    </w:p>
    <w:p>
      <w:pPr>
        <w:spacing w:after="80" w:before="40"/>
      </w:pPr>
      <w:r>
        <w:rPr>
          <w:b/>
          <w:bCs/>
        </w:rPr>
        <w:t xml:space="preserve">Authentication and Authorization:</w:t>
      </w:r>
    </w:p>
    <w:p>
      <w:pPr>
        <w:pStyle w:val="ListParagraph"/>
        <w:numPr>
          <w:ilvl w:val="0"/>
          <w:numId w:val="2"/>
        </w:numPr>
        <w:spacing w:after="20" w:before="0"/>
      </w:pPr>
      <w:r>
        <w:rPr>
          <w:b/>
          <w:bCs/>
        </w:rPr>
        <w:t xml:space="preserve">Enterprise SSO:</w:t>
      </w:r>
      <w:r>
        <w:t xml:space="preserve"> SAML 2.0 integration with RSA Identity Provider (enabled in preprod and production; dev and test use local mock authentication)</w:t>
      </w:r>
    </w:p>
    <w:p>
      <w:pPr>
        <w:pStyle w:val="ListParagraph"/>
        <w:numPr>
          <w:ilvl w:val="0"/>
          <w:numId w:val="2"/>
        </w:numPr>
        <w:spacing w:after="20" w:before="0"/>
      </w:pPr>
      <w:r>
        <w:rPr>
          <w:b/>
          <w:bCs/>
        </w:rPr>
        <w:t xml:space="preserve">Session Management:</w:t>
      </w:r>
      <w:r>
        <w:t xml:space="preserve"> Secure cookies (HttpOnly, SameSite), SQL Server session store</w:t>
      </w:r>
    </w:p>
    <w:p>
      <w:pPr>
        <w:pStyle w:val="ListParagraph"/>
        <w:numPr>
          <w:ilvl w:val="0"/>
          <w:numId w:val="2"/>
        </w:numPr>
        <w:spacing w:after="20" w:before="0"/>
      </w:pPr>
      <w:r>
        <w:rPr>
          <w:b/>
          <w:bCs/>
        </w:rPr>
        <w:t xml:space="preserve">Access Control:</w:t>
      </w:r>
      <w:r>
        <w:t xml:space="preserve"> RBAC (multiple roles and privilege levels) plus ABAC (attribute-based permissions)</w:t>
      </w:r>
    </w:p>
    <w:p>
      <w:pPr>
        <w:pStyle w:val="ListParagraph"/>
        <w:numPr>
          <w:ilvl w:val="0"/>
          <w:numId w:val="2"/>
        </w:numPr>
        <w:spacing w:after="20" w:before="0"/>
      </w:pPr>
      <w:r>
        <w:rPr>
          <w:b/>
          <w:bCs/>
        </w:rPr>
        <w:t xml:space="preserve">Permission Enforcement:</w:t>
      </w:r>
      <w:r>
        <w:t xml:space="preserve"> Role-gated API requests validated against user permissions</w:t>
      </w:r>
    </w:p>
    <w:p>
      <w:pPr>
        <w:spacing w:after="60"/>
      </w:pPr>
    </w:p>
    <w:p>
      <w:pPr>
        <w:spacing w:after="80" w:before="40"/>
      </w:pPr>
      <w:r>
        <w:rPr>
          <w:b/>
          <w:bCs/>
        </w:rPr>
        <w:t xml:space="preserve">Data Protection:</w:t>
      </w:r>
    </w:p>
    <w:p>
      <w:pPr>
        <w:pStyle w:val="ListParagraph"/>
        <w:numPr>
          <w:ilvl w:val="0"/>
          <w:numId w:val="2"/>
        </w:numPr>
        <w:spacing w:after="20" w:before="0"/>
      </w:pPr>
      <w:r>
        <w:rPr>
          <w:b/>
          <w:bCs/>
        </w:rPr>
        <w:t xml:space="preserve">In Transit:</w:t>
      </w:r>
      <w:r>
        <w:t xml:space="preserve"> TLS 1.3 encryption via the IIS reverse proxy</w:t>
      </w:r>
    </w:p>
    <w:p>
      <w:pPr>
        <w:pStyle w:val="ListParagraph"/>
        <w:numPr>
          <w:ilvl w:val="0"/>
          <w:numId w:val="2"/>
        </w:numPr>
        <w:spacing w:after="20" w:before="0"/>
      </w:pPr>
      <w:r>
        <w:rPr>
          <w:b/>
          <w:bCs/>
        </w:rPr>
        <w:t xml:space="preserve">At Rest:</w:t>
      </w:r>
      <w:r>
        <w:t xml:space="preserve"> SQL Server Transparent Data Encryption (TDE)</w:t>
      </w:r>
    </w:p>
    <w:p>
      <w:pPr>
        <w:pStyle w:val="ListParagraph"/>
        <w:numPr>
          <w:ilvl w:val="0"/>
          <w:numId w:val="2"/>
        </w:numPr>
        <w:spacing w:after="20" w:before="0"/>
      </w:pPr>
      <w:r>
        <w:rPr>
          <w:b/>
          <w:bCs/>
        </w:rPr>
        <w:t xml:space="preserve">In Use:</w:t>
      </w:r>
      <w:r>
        <w:t xml:space="preserve"> PII masking (tax id rendered as </w:t>
      </w:r>
      <w:r>
        <w:rPr>
          <w:rFonts w:ascii="Consolas" w:cs="Consolas" w:eastAsia="Consolas" w:hAnsi="Consolas"/>
          <w:sz w:val="20"/>
          <w:szCs w:val="20"/>
          <w:shd w:fill="EEF0F2" w:val="clear"/>
        </w:rPr>
        <w:t xml:space="preserve">XXX-XX-1234</w:t>
      </w:r>
      <w:r>
        <w:t xml:space="preserve">)</w:t>
      </w:r>
    </w:p>
    <w:p>
      <w:pPr>
        <w:pStyle w:val="ListParagraph"/>
        <w:numPr>
          <w:ilvl w:val="0"/>
          <w:numId w:val="2"/>
        </w:numPr>
        <w:spacing w:after="20" w:before="0"/>
      </w:pPr>
      <w:r>
        <w:rPr>
          <w:b/>
          <w:bCs/>
        </w:rPr>
        <w:t xml:space="preserve">In Logs:</w:t>
      </w:r>
      <w:r>
        <w:t xml:space="preserve"> Sensitive data redacted (no tax id, account numbers, or passwords)</w:t>
      </w:r>
    </w:p>
    <w:p>
      <w:pPr>
        <w:spacing w:after="60"/>
      </w:pPr>
    </w:p>
    <w:p>
      <w:pPr>
        <w:spacing w:after="80" w:before="40"/>
      </w:pPr>
      <w:r>
        <w:rPr>
          <w:b/>
          <w:bCs/>
        </w:rPr>
        <w:t xml:space="preserve">Network Security:</w:t>
      </w:r>
    </w:p>
    <w:p>
      <w:pPr>
        <w:pStyle w:val="ListParagraph"/>
        <w:numPr>
          <w:ilvl w:val="0"/>
          <w:numId w:val="2"/>
        </w:numPr>
        <w:spacing w:after="20" w:before="0"/>
      </w:pPr>
      <w:r>
        <w:t xml:space="preserve">IIS reverse proxy for load balancing and TLS termination</w:t>
      </w:r>
    </w:p>
    <w:p>
      <w:pPr>
        <w:pStyle w:val="ListParagraph"/>
        <w:numPr>
          <w:ilvl w:val="0"/>
          <w:numId w:val="2"/>
        </w:numPr>
        <w:spacing w:after="20" w:before="0"/>
      </w:pPr>
      <w:r>
        <w:t xml:space="preserve">Firewall rules restricting access to the FMB corporate network</w:t>
      </w:r>
    </w:p>
    <w:p>
      <w:pPr>
        <w:pStyle w:val="ListParagraph"/>
        <w:numPr>
          <w:ilvl w:val="0"/>
          <w:numId w:val="2"/>
        </w:numPr>
        <w:spacing w:after="20" w:before="0"/>
      </w:pPr>
      <w:r>
        <w:t xml:space="preserve">IDS/IPS integration for threat detection</w:t>
      </w:r>
    </w:p>
    <w:p>
      <w:pPr>
        <w:spacing w:after="60"/>
      </w:pPr>
    </w:p>
    <w:p>
      <w:pPr>
        <w:spacing w:after="80" w:before="40"/>
      </w:pPr>
      <w:r>
        <w:rPr>
          <w:b/>
          <w:bCs/>
        </w:rPr>
        <w:t xml:space="preserve">Audit Logging:</w:t>
      </w:r>
    </w:p>
    <w:p>
      <w:pPr>
        <w:pStyle w:val="ListParagraph"/>
        <w:numPr>
          <w:ilvl w:val="0"/>
          <w:numId w:val="2"/>
        </w:numPr>
        <w:spacing w:after="20" w:before="0"/>
      </w:pPr>
      <w:r>
        <w:t xml:space="preserve">Audit trails for customer notes and role management</w:t>
      </w:r>
    </w:p>
    <w:p>
      <w:pPr>
        <w:pStyle w:val="ListParagraph"/>
        <w:numPr>
          <w:ilvl w:val="0"/>
          <w:numId w:val="2"/>
        </w:numPr>
        <w:spacing w:after="20" w:before="0"/>
      </w:pPr>
      <w:r>
        <w:t xml:space="preserve">Long-term retention in SQL Server audit tables</w:t>
      </w:r>
    </w:p>
    <w:p>
      <w:pPr>
        <w:spacing w:after="60"/>
      </w:pPr>
    </w:p>
    <w:p>
      <w:pPr>
        <w:pBdr>
          <w:left w:val="single" w:color="333333" w:sz="18" w:space="8"/>
        </w:pBdr>
        <w:shd w:fill="E4E4E4" w:val="clear"/>
        <w:spacing w:after="80" w:before="80"/>
        <w:ind w:left="240" w:right="120"/>
      </w:pPr>
      <w:r>
        <w:rPr>
          <w:b/>
          <w:bCs/>
        </w:rPr>
        <w:t xml:space="preserve">[CONFIRM]</w:t>
      </w:r>
      <w:r>
        <w:t xml:space="preserve"> TDE enablement, IDS/IPS integration, and the audit-retention schedule are infrastructure and policy facts to confirm with FMB security and DBA teams.</w:t>
      </w:r>
    </w:p>
    <w:p>
      <w:pPr>
        <w:pStyle w:val="Heading3"/>
      </w:pPr>
      <w:r>
        <w:t xml:space="preserve">1.5 Architectural Principles</w:t>
      </w:r>
    </w:p>
    <w:p>
      <w:pPr>
        <w:spacing w:after="80" w:before="40"/>
      </w:pPr>
      <w:r>
        <w:t xml:space="preserve">The platform is architected according to enterprise-grade principles ensuring scalability, security, and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Principle</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Implementation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On-Premise First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Server hosts, SQL Server Always On, on-prem IIS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Security by Design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Defense-in-depth: TLS 1.3, TDE, RBAC/ABAC, RSA SAML SSO, PII masking</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Enterprise Integration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SOR to Vault to SPOT to App DB pipeline, scheduled SQL loads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API First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RESTful API-driven architecture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 Sovereignty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Role-based permissions, data masking</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Regulatory Compliance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Designed to support compliance requirements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Native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Node.js on Windows, SQL Server integration, Active Directory compatibility</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High Availability</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Always On Availability Groups, automatic failover (production)</w:t>
            </w:r>
          </w:p>
        </w:tc>
      </w:tr>
    </w:tbl>
    <w:p>
      <w:pPr>
        <w:spacing w:after="80"/>
      </w:pPr>
    </w:p>
    <w:p>
      <w:pPr>
        <w:pStyle w:val="Heading3"/>
      </w:pPr>
      <w:r>
        <w:t xml:space="preserve">1.6 Key Non-Functional Requirements</w:t>
      </w:r>
    </w:p>
    <w:p>
      <w:pPr>
        <w:spacing w:after="80" w:before="40"/>
      </w:pPr>
      <w:r>
        <w:rPr>
          <w:b/>
          <w:bCs/>
        </w:rPr>
        <w:t xml:space="preserve">Performance:</w:t>
      </w:r>
    </w:p>
    <w:p>
      <w:pPr>
        <w:pStyle w:val="ListParagraph"/>
        <w:numPr>
          <w:ilvl w:val="0"/>
          <w:numId w:val="2"/>
        </w:numPr>
        <w:spacing w:after="20" w:before="0"/>
      </w:pPr>
      <w:r>
        <w:t xml:space="preserve">Fast transaction and customer-profile response times</w:t>
      </w:r>
    </w:p>
    <w:p>
      <w:pPr>
        <w:pStyle w:val="ListParagraph"/>
        <w:numPr>
          <w:ilvl w:val="0"/>
          <w:numId w:val="2"/>
        </w:numPr>
        <w:spacing w:after="20" w:before="0"/>
      </w:pPr>
      <w:r>
        <w:t xml:space="preserve">Fast customer search via indexed </w:t>
      </w:r>
      <w:r>
        <w:rPr>
          <w:rFonts w:ascii="Consolas" w:cs="Consolas" w:eastAsia="Consolas" w:hAnsi="Consolas"/>
          <w:sz w:val="20"/>
          <w:szCs w:val="20"/>
          <w:shd w:fill="EEF0F2" w:val="clear"/>
        </w:rPr>
        <w:t xml:space="preserve">LIKE</w:t>
      </w:r>
      <w:r>
        <w:t xml:space="preserve"> lookups on the unified </w:t>
      </w:r>
      <w:r>
        <w:rPr>
          <w:rFonts w:ascii="Consolas" w:cs="Consolas" w:eastAsia="Consolas" w:hAnsi="Consolas"/>
          <w:sz w:val="20"/>
          <w:szCs w:val="20"/>
          <w:shd w:fill="EEF0F2" w:val="clear"/>
        </w:rPr>
        <w:t xml:space="preserve">full_name</w:t>
      </w:r>
      <w:r>
        <w:t xml:space="preserve"> column</w:t>
      </w:r>
    </w:p>
    <w:p>
      <w:pPr>
        <w:pStyle w:val="ListParagraph"/>
        <w:numPr>
          <w:ilvl w:val="0"/>
          <w:numId w:val="2"/>
        </w:numPr>
        <w:spacing w:after="20" w:before="0"/>
      </w:pPr>
      <w:r>
        <w:t xml:space="preserve">Support for multiple concurrent FMB staff users</w:t>
      </w:r>
    </w:p>
    <w:p>
      <w:pPr>
        <w:pStyle w:val="ListParagraph"/>
        <w:numPr>
          <w:ilvl w:val="0"/>
          <w:numId w:val="2"/>
        </w:numPr>
        <w:spacing w:after="20" w:before="0"/>
      </w:pPr>
      <w:r>
        <w:t xml:space="preserve">Handles large customer databases with fast search</w:t>
      </w:r>
    </w:p>
    <w:p>
      <w:pPr>
        <w:spacing w:after="60"/>
      </w:pPr>
    </w:p>
    <w:p>
      <w:pPr>
        <w:spacing w:after="80" w:before="40"/>
      </w:pPr>
      <w:r>
        <w:rPr>
          <w:b/>
          <w:bCs/>
        </w:rPr>
        <w:t xml:space="preserve">Scalability:</w:t>
      </w:r>
    </w:p>
    <w:p>
      <w:pPr>
        <w:pStyle w:val="ListParagraph"/>
        <w:numPr>
          <w:ilvl w:val="0"/>
          <w:numId w:val="2"/>
        </w:numPr>
        <w:spacing w:after="20" w:before="0"/>
      </w:pPr>
      <w:r>
        <w:t xml:space="preserve">Horizontal scaling of the application tier behind IIS in production</w:t>
      </w:r>
    </w:p>
    <w:p>
      <w:pPr>
        <w:pStyle w:val="ListParagraph"/>
        <w:numPr>
          <w:ilvl w:val="0"/>
          <w:numId w:val="2"/>
        </w:numPr>
        <w:spacing w:after="20" w:before="0"/>
      </w:pPr>
      <w:r>
        <w:t xml:space="preserve">SQL Server session store for stateful session management</w:t>
      </w:r>
    </w:p>
    <w:p>
      <w:pPr>
        <w:pStyle w:val="ListParagraph"/>
        <w:numPr>
          <w:ilvl w:val="0"/>
          <w:numId w:val="2"/>
        </w:numPr>
        <w:spacing w:after="20" w:before="0"/>
      </w:pPr>
      <w:r>
        <w:t xml:space="preserve">Support for enterprise-scale customer databases</w:t>
      </w:r>
    </w:p>
    <w:p>
      <w:pPr>
        <w:spacing w:after="60"/>
      </w:pPr>
    </w:p>
    <w:p>
      <w:pPr>
        <w:spacing w:after="80" w:before="40"/>
      </w:pPr>
      <w:r>
        <w:rPr>
          <w:b/>
          <w:bCs/>
        </w:rPr>
        <w:t xml:space="preserve">Availability:</w:t>
      </w:r>
    </w:p>
    <w:p>
      <w:pPr>
        <w:pStyle w:val="ListParagraph"/>
        <w:numPr>
          <w:ilvl w:val="0"/>
          <w:numId w:val="2"/>
        </w:numPr>
        <w:spacing w:after="20" w:before="0"/>
      </w:pPr>
      <w:r>
        <w:t xml:space="preserve">High-availability SLA in production</w:t>
      </w:r>
    </w:p>
    <w:p>
      <w:pPr>
        <w:pStyle w:val="ListParagraph"/>
        <w:numPr>
          <w:ilvl w:val="0"/>
          <w:numId w:val="2"/>
        </w:numPr>
        <w:spacing w:after="20" w:before="0"/>
      </w:pPr>
      <w:r>
        <w:t xml:space="preserve">SQL Server Always On Availability Groups for automatic failover</w:t>
      </w:r>
    </w:p>
    <w:p>
      <w:pPr>
        <w:pStyle w:val="ListParagraph"/>
        <w:numPr>
          <w:ilvl w:val="0"/>
          <w:numId w:val="2"/>
        </w:numPr>
        <w:spacing w:after="20" w:before="0"/>
      </w:pPr>
      <w:r>
        <w:t xml:space="preserve">IIS reverse proxy with health checks and failover</w:t>
      </w:r>
    </w:p>
    <w:p>
      <w:pPr>
        <w:spacing w:after="60"/>
      </w:pPr>
    </w:p>
    <w:p>
      <w:pPr>
        <w:spacing w:after="80" w:before="40"/>
      </w:pPr>
      <w:r>
        <w:rPr>
          <w:b/>
          <w:bCs/>
        </w:rPr>
        <w:t xml:space="preserve">Security:</w:t>
      </w:r>
    </w:p>
    <w:p>
      <w:pPr>
        <w:pStyle w:val="ListParagraph"/>
        <w:numPr>
          <w:ilvl w:val="0"/>
          <w:numId w:val="2"/>
        </w:numPr>
        <w:spacing w:after="20" w:before="0"/>
      </w:pPr>
      <w:r>
        <w:t xml:space="preserve">End-to-end TLS 1.3 encryption</w:t>
      </w:r>
    </w:p>
    <w:p>
      <w:pPr>
        <w:pStyle w:val="ListParagraph"/>
        <w:numPr>
          <w:ilvl w:val="0"/>
          <w:numId w:val="2"/>
        </w:numPr>
        <w:spacing w:after="20" w:before="0"/>
      </w:pPr>
      <w:r>
        <w:t xml:space="preserve">Data masking for PII in the UI and logs</w:t>
      </w:r>
    </w:p>
    <w:p>
      <w:pPr>
        <w:pStyle w:val="ListParagraph"/>
        <w:numPr>
          <w:ilvl w:val="0"/>
          <w:numId w:val="2"/>
        </w:numPr>
        <w:spacing w:after="20" w:before="0"/>
      </w:pPr>
      <w:r>
        <w:t xml:space="preserve">Audit logging for notes and role management</w:t>
      </w:r>
    </w:p>
    <w:p>
      <w:pPr>
        <w:spacing w:after="60"/>
      </w:pPr>
    </w:p>
    <w:p>
      <w:pPr>
        <w:spacing w:after="80" w:before="40"/>
      </w:pPr>
      <w:r>
        <w:rPr>
          <w:b/>
          <w:bCs/>
        </w:rPr>
        <w:t xml:space="preserve">Compliance Standards:</w:t>
      </w:r>
    </w:p>
    <w:p>
      <w:pPr>
        <w:pStyle w:val="ListParagraph"/>
        <w:numPr>
          <w:ilvl w:val="0"/>
          <w:numId w:val="2"/>
        </w:numPr>
        <w:spacing w:after="20" w:before="0"/>
      </w:pPr>
      <w:r>
        <w:t xml:space="preserve">Customer data protected with encryption (TLS 1.3, SQL Server TDE)</w:t>
      </w:r>
    </w:p>
    <w:p>
      <w:pPr>
        <w:pStyle w:val="ListParagraph"/>
        <w:numPr>
          <w:ilvl w:val="0"/>
          <w:numId w:val="2"/>
        </w:numPr>
        <w:spacing w:after="20" w:before="0"/>
      </w:pPr>
      <w:r>
        <w:t xml:space="preserve">Audit logging for notes and role management</w:t>
      </w:r>
    </w:p>
    <w:p>
      <w:pPr>
        <w:pStyle w:val="ListParagraph"/>
        <w:numPr>
          <w:ilvl w:val="0"/>
          <w:numId w:val="2"/>
        </w:numPr>
        <w:spacing w:after="20" w:before="0"/>
      </w:pPr>
      <w:r>
        <w:t xml:space="preserve">PII masking in the UI and logs</w:t>
      </w:r>
    </w:p>
    <w:p>
      <w:pPr>
        <w:pStyle w:val="ListParagraph"/>
        <w:numPr>
          <w:ilvl w:val="0"/>
          <w:numId w:val="2"/>
        </w:numPr>
        <w:spacing w:after="20" w:before="0"/>
      </w:pPr>
      <w:r>
        <w:t xml:space="preserve">Role-based access control for data segregation</w:t>
      </w:r>
    </w:p>
    <w:p>
      <w:pPr>
        <w:spacing w:after="60"/>
      </w:pPr>
    </w:p>
    <w:p>
      <w:pPr>
        <w:pBdr>
          <w:bottom w:val="single" w:color="333333" w:sz="6" w:space="1"/>
        </w:pBdr>
        <w:spacing w:after="80" w:before="80"/>
      </w:pPr>
    </w:p>
    <w:p>
      <w:pPr>
        <w:pStyle w:val="Heading2"/>
      </w:pPr>
      <w:r>
        <w:t xml:space="preserve">2. Logical Component Architecture</w:t>
      </w:r>
    </w:p>
    <w:p>
      <w:pPr>
        <w:pStyle w:val="Heading3"/>
      </w:pPr>
      <w:r>
        <w:t xml:space="preserve">2.1 Component Structure and Responsibilities</w:t>
      </w:r>
    </w:p>
    <w:p>
      <w:pPr>
        <w:spacing w:after="80" w:before="40"/>
      </w:pPr>
      <w:r>
        <w:t xml:space="preserve">The platform follows a layered architecture pattern with clear separation of concerns. Each layer exposes a narrow contract to the layer above it, and the data-access layer is the only tier that talks to SQL Server.</w:t>
      </w:r>
    </w:p>
    <w:p>
      <w:pPr>
        <w:spacing w:after="80" w:before="40"/>
        <w:jc w:val="center"/>
      </w:pPr>
      <w:r>
        <w:drawing>
          <wp:inline distT="0" distB="0" distL="0" distR="0">
            <wp:extent cx="6286500" cy="7429500"/>
            <wp:effectExtent t="0" r="0" b="0" l="0"/>
            <wp:docPr id="1" name="img-images-arch-component-png" descr="ClientIQ component structure. Presentation Layer (Customer Dashboard, Household Management, Account Summary, Transaction History, Notes, Customer Overview; React 18, TypeScript, Material-UI, TanStack Query, Wouter, React Hook Form + Zod) over HTTPS/JSON to the API Layer (Express routes with Zod validation, authentication middleware, authorization middleware), to the Business Logic Layer (customer adapter, domain services), to the Data Access Layer (parameterized mssql queries, case-insensitive LIKE search, SQL Server session store), to SQL Server." title="ClientIQ component structure. Presentation Layer (Customer Dashboard, Household Management, Account Summary, Transaction History, Notes, Customer Overview; React 18, TypeScript, Material-UI, TanStack Query, Wouter, React Hook Form + Zod) over HTTPS/JSON to the API Layer (Express routes with Zod validation, authentication middleware, authorization middleware), to the Business Logic Layer (customer adapter, domain services), to the Data Access Layer (parameterized mssql queries, case-insensitive LIKE search, SQL Server session store), to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7429500"/>
                    </a:xfrm>
                    <a:prstGeom prst="rect">
                      <a:avLst/>
                    </a:prstGeom>
                  </pic:spPr>
                </pic:pic>
              </a:graphicData>
            </a:graphic>
          </wp:inline>
        </w:drawing>
      </w:r>
    </w:p>
    <w:p>
      <w:pPr>
        <w:spacing w:after="80" w:before="40"/>
      </w:pPr>
      <w:r>
        <w:rPr>
          <w:b/>
          <w:bCs/>
        </w:rPr>
        <w:t xml:space="preserve">Layer responsibilities:</w:t>
      </w:r>
    </w:p>
    <w:p>
      <w:pPr>
        <w:pStyle w:val="ListParagraph"/>
        <w:numPr>
          <w:ilvl w:val="0"/>
          <w:numId w:val="2"/>
        </w:numPr>
        <w:spacing w:after="20" w:before="0"/>
      </w:pPr>
      <w:r>
        <w:rPr>
          <w:b/>
          <w:bCs/>
        </w:rPr>
        <w:t xml:space="preserve">Presentation:</w:t>
      </w:r>
      <w:r>
        <w:t xml:space="preserve"> Customer Dashboard, Household Management, Account Summary, Transaction History, Notes, and Customer Overview screens. Technology: React 18, TypeScript, Material-UI, TanStack React Query (server state), Wouter (routing), React Hook Form + Zod (forms).</w:t>
      </w:r>
    </w:p>
    <w:p>
      <w:pPr>
        <w:pStyle w:val="ListParagraph"/>
        <w:numPr>
          <w:ilvl w:val="0"/>
          <w:numId w:val="2"/>
        </w:numPr>
        <w:spacing w:after="20" w:before="0"/>
      </w:pPr>
      <w:r>
        <w:rPr>
          <w:b/>
          <w:bCs/>
        </w:rPr>
        <w:t xml:space="preserve">API:</w:t>
      </w:r>
      <w:r>
        <w:t xml:space="preserve"> Express route definitions, Zod request validation, standardized error handling; SAML authentication middleware (session validation, employee lookup/upsert from SAML assertions); authorization middleware (RBAC checks, ABAC conditional evaluation, privilege-level verification).</w:t>
      </w:r>
    </w:p>
    <w:p>
      <w:pPr>
        <w:pStyle w:val="ListParagraph"/>
        <w:numPr>
          <w:ilvl w:val="0"/>
          <w:numId w:val="2"/>
        </w:numPr>
        <w:spacing w:after="20" w:before="0"/>
      </w:pPr>
      <w:r>
        <w:rPr>
          <w:b/>
          <w:bCs/>
        </w:rPr>
        <w:t xml:space="preserve">Business Logic:</w:t>
      </w:r>
      <w:r>
        <w:t xml:space="preserve"> Customer adapter (PII masking, DTO mapping), Account/Household/Transaction/Search services, Permission service (ABAC evaluation, audit logging), Note service (versioning, soft delete).</w:t>
      </w:r>
    </w:p>
    <w:p>
      <w:pPr>
        <w:pStyle w:val="ListParagraph"/>
        <w:numPr>
          <w:ilvl w:val="0"/>
          <w:numId w:val="2"/>
        </w:numPr>
        <w:spacing w:after="20" w:before="0"/>
      </w:pPr>
      <w:r>
        <w:rPr>
          <w:b/>
          <w:bCs/>
        </w:rPr>
        <w:t xml:space="preserve">Data Access:</w:t>
      </w:r>
      <w:r>
        <w:t xml:space="preserve"> SQL Server access via the </w:t>
      </w:r>
      <w:r>
        <w:rPr>
          <w:rFonts w:ascii="Consolas" w:cs="Consolas" w:eastAsia="Consolas" w:hAnsi="Consolas"/>
          <w:sz w:val="20"/>
          <w:szCs w:val="20"/>
          <w:shd w:fill="EEF0F2" w:val="clear"/>
        </w:rPr>
        <w:t xml:space="preserve">mssql</w:t>
      </w:r>
      <w:r>
        <w:t xml:space="preserve"> driver with parameterized queries and connection pooling; case-insensitive </w:t>
      </w:r>
      <w:r>
        <w:rPr>
          <w:rFonts w:ascii="Consolas" w:cs="Consolas" w:eastAsia="Consolas" w:hAnsi="Consolas"/>
          <w:sz w:val="20"/>
          <w:szCs w:val="20"/>
          <w:shd w:fill="EEF0F2" w:val="clear"/>
        </w:rPr>
        <w:t xml:space="preserve">LIKE</w:t>
      </w:r>
      <w:r>
        <w:t xml:space="preserve"> search over </w:t>
      </w:r>
      <w:r>
        <w:rPr>
          <w:rFonts w:ascii="Consolas" w:cs="Consolas" w:eastAsia="Consolas" w:hAnsi="Consolas"/>
          <w:sz w:val="20"/>
          <w:szCs w:val="20"/>
          <w:shd w:fill="EEF0F2" w:val="clear"/>
        </w:rPr>
        <w:t xml:space="preserve">full_name</w:t>
      </w:r>
      <w:r>
        <w:t xml:space="preserve">; SQL Server session store with automatic cleanup.</w:t>
      </w:r>
    </w:p>
    <w:p>
      <w:pPr>
        <w:spacing w:after="60"/>
      </w:pPr>
    </w:p>
    <w:p>
      <w:pPr>
        <w:pBdr>
          <w:bottom w:val="single" w:color="333333" w:sz="6" w:space="1"/>
        </w:pBdr>
        <w:spacing w:after="80" w:before="80"/>
      </w:pPr>
    </w:p>
    <w:p>
      <w:pPr>
        <w:pStyle w:val="Heading2"/>
      </w:pPr>
      <w:r>
        <w:t xml:space="preserve">3. System Context</w:t>
      </w:r>
    </w:p>
    <w:p>
      <w:pPr>
        <w:pStyle w:val="Heading3"/>
      </w:pPr>
      <w:r>
        <w:t xml:space="preserve">3.1 System Context Diagram</w:t>
      </w:r>
    </w:p>
    <w:p>
      <w:pPr>
        <w:spacing w:after="80" w:before="40"/>
      </w:pPr>
      <w:r>
        <w:t xml:space="preserve">The ClientIQ system operates within FMB's on-premise datacenter environment. FMB staff reach the application over HTTPS on the corporate network; the application integrates with the core-banking data pipeline and the RSA identity provider.</w:t>
      </w:r>
    </w:p>
    <w:p>
      <w:pPr>
        <w:spacing w:after="80" w:before="40"/>
        <w:jc w:val="center"/>
      </w:pPr>
      <w:r>
        <w:drawing>
          <wp:inline distT="0" distB="0" distL="0" distR="0">
            <wp:extent cx="5400675" cy="8382000"/>
            <wp:effectExtent t="0" r="0" b="0" l="0"/>
            <wp:docPr id="1" name="img-images-arch-system-context-png" descr="ClientIQ system context. FMB bank employees reach the system over HTTPS 443 on the corporate network / VPN, through the datacenter perimeter (firewall, IDS/IPS, port 443 only, source-IP allowlisting), to the IIS reverse proxy (TLS 1.3 termination), to the application servers (Windows Server, Node.js + Express on port 5000, React SPA), to SQL Server (App DB, session store, audit; Always On AG in production). The FMB SOR (Jack Henry Symitar, Silverlake core banking, Synapse) flows to the FMB Vault data warehouse, to SPOT, and is loaded daily into SQL Server. The RSA Identity Provider (SAML 2.0 SSO) connects to the application servers." title="ClientIQ system context. FMB bank employees reach the system over HTTPS 443 on the corporate network / VPN, through the datacenter perimeter (firewall, IDS/IPS, port 443 only, source-IP allowlisting), to the IIS reverse proxy (TLS 1.3 termination), to the application servers (Windows Server, Node.js + Express on port 5000, React SPA), to SQL Server (App DB, session store, audit; Always On AG in production). The FMB SOR (Jack Henry Symitar, Silverlake core banking, Synapse) flows to the FMB Vault data warehouse, to SPOT, and is loaded daily into SQL Server. The RSA Identity Provider (SAML 2.0 SSO) connects to the application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8382000"/>
                    </a:xfrm>
                    <a:prstGeom prst="rect">
                      <a:avLst/>
                    </a:prstGeom>
                  </pic:spPr>
                </pic:pic>
              </a:graphicData>
            </a:graphic>
          </wp:inline>
        </w:drawing>
      </w:r>
    </w:p>
    <w:p>
      <w:pPr>
        <w:pStyle w:val="Heading3"/>
      </w:pPr>
      <w:r>
        <w:t xml:space="preserve">3.2 FMB Data Pipeline Architecture (SOR to Vault to SPOT to App DB)</w:t>
      </w:r>
    </w:p>
    <w:p>
      <w:pPr>
        <w:spacing w:after="80" w:before="40"/>
      </w:pPr>
      <w:r>
        <w:t xml:space="preserve">The application database is populated through a multi-stage pipeline. Source records originate in the FMB System of Record (Jack Henry Symitar and Silverlake core banking, plus Synapse), land in the Vault data warehouse, are curated into SPOT, and are then loaded into the ClientIQ SQL Server database on a daily cadence (initial bulk load followed by daily deltas).</w:t>
      </w:r>
    </w:p>
    <w:p>
      <w:pPr>
        <w:spacing w:after="80" w:before="40"/>
        <w:jc w:val="center"/>
      </w:pPr>
      <w:r>
        <w:drawing>
          <wp:inline distT="0" distB="0" distL="0" distR="0">
            <wp:extent cx="6286500" cy="904875"/>
            <wp:effectExtent t="0" r="0" b="0" l="0"/>
            <wp:docPr id="1" name="img-images-arch-data-pipeline-png" descr="ClientIQ data pipeline. Jack Henry (Symitar / Silverlake core banking) and Synapse feed the FMB Vault data warehouse (cleansed), which feeds SPOT (curated views), which performs an initial bulk load plus daily delta into the ClientIQ SQL Server database, which serves the ClientIQ application." title="ClientIQ data pipeline. Jack Henry (Symitar / Silverlake core banking) and Synapse feed the FMB Vault data warehouse (cleansed), which feeds SPOT (curated views), which performs an initial bulk load plus daily delta into the ClientIQ SQL Server database, which serves the ClientIQ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904875"/>
                    </a:xfrm>
                    <a:prstGeom prst="rect">
                      <a:avLst/>
                    </a:prstGeom>
                  </pic:spPr>
                </pic:pic>
              </a:graphicData>
            </a:graphic>
          </wp:inline>
        </w:drawing>
      </w:r>
    </w:p>
    <w:p>
      <w:pPr>
        <w:spacing w:after="80" w:before="40"/>
      </w:pPr>
      <w:r>
        <w:t xml:space="preserve">In the current implementation, the SPOT feed surfaces as the Jack Henry views (</w:t>
      </w:r>
      <w:r>
        <w:rPr>
          <w:rFonts w:ascii="Consolas" w:cs="Consolas" w:eastAsia="Consolas" w:hAnsi="Consolas"/>
          <w:sz w:val="20"/>
          <w:szCs w:val="20"/>
          <w:shd w:fill="EEF0F2" w:val="clear"/>
        </w:rPr>
        <w:t xml:space="preserve">TheSpot</w:t>
      </w:r>
      <w:r>
        <w:t xml:space="preserve">, </w:t>
      </w:r>
      <w:r>
        <w:rPr>
          <w:rFonts w:ascii="Consolas" w:cs="Consolas" w:eastAsia="Consolas" w:hAnsi="Consolas"/>
          <w:sz w:val="20"/>
          <w:szCs w:val="20"/>
          <w:shd w:fill="EEF0F2" w:val="clear"/>
        </w:rPr>
        <w:t xml:space="preserve">TheSpotPreProd</w:t>
      </w:r>
      <w:r>
        <w:t xml:space="preserve">, and the </w:t>
      </w:r>
      <w:r>
        <w:rPr>
          <w:rFonts w:ascii="Consolas" w:cs="Consolas" w:eastAsia="Consolas" w:hAnsi="Consolas"/>
          <w:sz w:val="20"/>
          <w:szCs w:val="20"/>
          <w:shd w:fill="EEF0F2" w:val="clear"/>
        </w:rPr>
        <w:t xml:space="preserve">TheVault</w:t>
      </w:r>
      <w:r>
        <w:t xml:space="preserve"> landing view), and the loads are scheduled SQL scripts executed in foreign-key dependency order with idempotent </w:t>
      </w:r>
      <w:r>
        <w:rPr>
          <w:rFonts w:ascii="Consolas" w:cs="Consolas" w:eastAsia="Consolas" w:hAnsi="Consolas"/>
          <w:sz w:val="20"/>
          <w:szCs w:val="20"/>
          <w:shd w:fill="EEF0F2" w:val="clear"/>
        </w:rPr>
        <w:t xml:space="preserve">MERGE</w:t>
      </w:r>
      <w:r>
        <w:t xml:space="preserve"> / </w:t>
      </w:r>
      <w:r>
        <w:rPr>
          <w:rFonts w:ascii="Consolas" w:cs="Consolas" w:eastAsia="Consolas" w:hAnsi="Consolas"/>
          <w:sz w:val="20"/>
          <w:szCs w:val="20"/>
          <w:shd w:fill="EEF0F2" w:val="clear"/>
        </w:rPr>
        <w:t xml:space="preserve">NOT EXISTS</w:t>
      </w:r>
      <w:r>
        <w:t xml:space="preserve"> guards. There is no SSIS orchestration or staging-table layer committed in the application repository.</w:t>
      </w:r>
    </w:p>
    <w:p>
      <w:pPr>
        <w:pBdr>
          <w:left w:val="single" w:color="333333" w:sz="18" w:space="8"/>
        </w:pBdr>
        <w:shd w:fill="E4E4E4" w:val="clear"/>
        <w:spacing w:after="80" w:before="80"/>
        <w:ind w:left="240" w:right="120"/>
      </w:pPr>
      <w:r>
        <w:rPr>
          <w:b/>
          <w:bCs/>
        </w:rPr>
        <w:t xml:space="preserve">[CONFIRM]</w:t>
      </w:r>
      <w:r>
        <w:t xml:space="preserve"> The scheduled orchestration (SQL Agent job or equivalent) and the refresh window that drives the daily delta loads in preprod and production.</w:t>
      </w:r>
    </w:p>
    <w:p>
      <w:pPr>
        <w:pStyle w:val="Heading3"/>
      </w:pPr>
      <w:r>
        <w:t xml:space="preserve">3.3 External System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System</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Integration Type</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Protocol</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Data Flow</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Authentication</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FMB SOR (Jack Henry Symitar)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Batch data load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 views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Inbound (SOR to Vault)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Auth</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FMB SOR (Silverlake)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Batch data load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 views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Inbound (SOR to Vault)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Auth</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Synapse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Batch data load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 views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Inbound (to Vault)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Auth</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FMB Vault / SPOT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Scheduled load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views</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Inbound (SPOT to App DB)</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Auth</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RSA Identity Provider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2.0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HTTPS / XML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Bidirectional (auth)</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X.509 Certificate</w:t>
            </w:r>
          </w:p>
        </w:tc>
      </w:tr>
    </w:tbl>
    <w:p>
      <w:pPr>
        <w:spacing w:after="80"/>
      </w:pPr>
    </w:p>
    <w:p>
      <w:pPr>
        <w:pStyle w:val="Heading3"/>
      </w:pPr>
      <w:r>
        <w:t xml:space="preserve">3.4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Stakeholder Group</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Primary Needs</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System Interaction</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Success Metrics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Tellers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Fast customer lookup, transaction viewing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Read-only customer profiles, account balances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Fast customer lookup</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Relationship Managers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Comprehensive customer intelligence, notes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Full CRUD on customer notes, household management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360-degree view completeness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Branch Managers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Team oversight, customer service management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RM capabilities plus team reports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usage, customer satisfaction</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Executives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Strategic analytics, portfolio insights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Dashboards, executive reports (read-only)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Strategic insight availability</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Administrators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User management, system configuration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Full administrative access, role assignment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availability</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IT Operations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Monitoring, incident response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Infrastructure management, log analysis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Fast MTTR</w:t>
            </w:r>
          </w:p>
        </w:tc>
      </w:tr>
    </w:tbl>
    <w:p>
      <w:pPr>
        <w:spacing w:after="80"/>
      </w:pPr>
    </w:p>
    <w:p>
      <w:pPr>
        <w:pBdr>
          <w:bottom w:val="single" w:color="333333" w:sz="6" w:space="1"/>
        </w:pBdr>
        <w:spacing w:after="80" w:before="80"/>
      </w:pPr>
    </w:p>
    <w:p>
      <w:pPr>
        <w:pStyle w:val="Heading2"/>
      </w:pPr>
      <w:r>
        <w:t xml:space="preserve">4. Data Architecture and Information Management</w:t>
      </w:r>
    </w:p>
    <w:p>
      <w:pPr>
        <w:pStyle w:val="Heading3"/>
      </w:pPr>
      <w:r>
        <w:t xml:space="preserve">4.1 Data Storage Strategy</w:t>
      </w:r>
    </w:p>
    <w:p>
      <w:pPr>
        <w:spacing w:after="80" w:before="40"/>
      </w:pPr>
      <w:r>
        <w:rPr>
          <w:b/>
          <w:bCs/>
        </w:rPr>
        <w:t xml:space="preserve">SQL Server Primary Database:</w:t>
      </w:r>
    </w:p>
    <w:p>
      <w:pPr>
        <w:pStyle w:val="ListParagraph"/>
        <w:numPr>
          <w:ilvl w:val="0"/>
          <w:numId w:val="2"/>
        </w:numPr>
        <w:spacing w:after="20" w:before="0"/>
      </w:pPr>
      <w:r>
        <w:rPr>
          <w:b/>
          <w:bCs/>
        </w:rPr>
        <w:t xml:space="preserve">Primary Database:</w:t>
      </w:r>
      <w:r>
        <w:t xml:space="preserve"> Microsoft SQL Server 2019+ with Always On Availability Groups (production)</w:t>
      </w:r>
    </w:p>
    <w:p>
      <w:pPr>
        <w:pStyle w:val="ListParagraph"/>
        <w:numPr>
          <w:ilvl w:val="0"/>
          <w:numId w:val="2"/>
        </w:numPr>
        <w:spacing w:after="20" w:before="0"/>
      </w:pPr>
      <w:r>
        <w:rPr>
          <w:b/>
          <w:bCs/>
        </w:rPr>
        <w:t xml:space="preserve">Session Store:</w:t>
      </w:r>
      <w:r>
        <w:t xml:space="preserve"> SQL Server session table for stateful session management</w:t>
      </w:r>
    </w:p>
    <w:p>
      <w:pPr>
        <w:pStyle w:val="ListParagraph"/>
        <w:numPr>
          <w:ilvl w:val="0"/>
          <w:numId w:val="2"/>
        </w:numPr>
        <w:spacing w:after="20" w:before="0"/>
      </w:pPr>
      <w:r>
        <w:rPr>
          <w:b/>
          <w:bCs/>
        </w:rPr>
        <w:t xml:space="preserve">Audit Store:</w:t>
      </w:r>
      <w:r>
        <w:t xml:space="preserve"> SQL Server audit tables (</w:t>
      </w:r>
      <w:r>
        <w:rPr>
          <w:rFonts w:ascii="Consolas" w:cs="Consolas" w:eastAsia="Consolas" w:hAnsi="Consolas"/>
          <w:sz w:val="20"/>
          <w:szCs w:val="20"/>
          <w:shd w:fill="EEF0F2" w:val="clear"/>
        </w:rPr>
        <w:t xml:space="preserve">audit_event</w:t>
      </w:r>
      <w:r>
        <w:t xml:space="preserve">, </w:t>
      </w:r>
      <w:r>
        <w:rPr>
          <w:rFonts w:ascii="Consolas" w:cs="Consolas" w:eastAsia="Consolas" w:hAnsi="Consolas"/>
          <w:sz w:val="20"/>
          <w:szCs w:val="20"/>
          <w:shd w:fill="EEF0F2" w:val="clear"/>
        </w:rPr>
        <w:t xml:space="preserve">role_audit_log</w:t>
      </w:r>
      <w:r>
        <w:t xml:space="preserve">, </w:t>
      </w:r>
      <w:r>
        <w:rPr>
          <w:rFonts w:ascii="Consolas" w:cs="Consolas" w:eastAsia="Consolas" w:hAnsi="Consolas"/>
          <w:sz w:val="20"/>
          <w:szCs w:val="20"/>
          <w:shd w:fill="EEF0F2" w:val="clear"/>
        </w:rPr>
        <w:t xml:space="preserve">permission_denial_log</w:t>
      </w:r>
      <w:r>
        <w:t xml:space="preserve">) for regulatory retention</w:t>
      </w:r>
    </w:p>
    <w:p>
      <w:pPr>
        <w:spacing w:after="60"/>
      </w:pPr>
    </w:p>
    <w:p>
      <w:pPr>
        <w:spacing w:after="80" w:before="40"/>
      </w:pPr>
      <w:r>
        <w:rPr>
          <w:b/>
          <w:bCs/>
        </w:rPr>
        <w:t xml:space="preserve">Data Flow Patterns:</w:t>
      </w:r>
    </w:p>
    <w:p>
      <w:pPr>
        <w:pStyle w:val="ListParagraph"/>
        <w:numPr>
          <w:ilvl w:val="0"/>
          <w:numId w:val="4"/>
        </w:numPr>
        <w:spacing w:after="20" w:before="0"/>
      </w:pPr>
      <w:r>
        <w:rPr>
          <w:b/>
          <w:bCs/>
        </w:rPr>
        <w:t xml:space="preserve">Write Operations:</w:t>
      </w:r>
      <w:r>
        <w:t xml:space="preserve"> Application writes are limited to the Notes module and RBAC/role administration</w:t>
      </w:r>
    </w:p>
    <w:p>
      <w:pPr>
        <w:pStyle w:val="ListParagraph"/>
        <w:numPr>
          <w:ilvl w:val="0"/>
          <w:numId w:val="4"/>
        </w:numPr>
        <w:spacing w:after="20" w:before="0"/>
      </w:pPr>
      <w:r>
        <w:rPr>
          <w:b/>
          <w:bCs/>
        </w:rPr>
        <w:t xml:space="preserve">Read Operations:</w:t>
      </w:r>
      <w:r>
        <w:t xml:space="preserve"> Served from the primary (and a read-only secondary replica where configured)</w:t>
      </w:r>
    </w:p>
    <w:p>
      <w:pPr>
        <w:pStyle w:val="ListParagraph"/>
        <w:numPr>
          <w:ilvl w:val="0"/>
          <w:numId w:val="4"/>
        </w:numPr>
        <w:spacing w:after="20" w:before="0"/>
      </w:pPr>
      <w:r>
        <w:rPr>
          <w:b/>
          <w:bCs/>
        </w:rPr>
        <w:t xml:space="preserve">Session Management:</w:t>
      </w:r>
      <w:r>
        <w:t xml:space="preserve"> SQL Server session store with automatic cleanup</w:t>
      </w:r>
    </w:p>
    <w:p>
      <w:pPr>
        <w:pStyle w:val="ListParagraph"/>
        <w:numPr>
          <w:ilvl w:val="0"/>
          <w:numId w:val="4"/>
        </w:numPr>
        <w:spacing w:after="20" w:before="0"/>
      </w:pPr>
      <w:r>
        <w:rPr>
          <w:b/>
          <w:bCs/>
        </w:rPr>
        <w:t xml:space="preserve">Audit Logs:</w:t>
      </w:r>
      <w:r>
        <w:t xml:space="preserve"> Write-through to audit tables for role and note actions</w:t>
      </w:r>
    </w:p>
    <w:p>
      <w:pPr>
        <w:pStyle w:val="ListParagraph"/>
        <w:numPr>
          <w:ilvl w:val="0"/>
          <w:numId w:val="4"/>
        </w:numPr>
        <w:spacing w:after="20" w:before="0"/>
      </w:pPr>
      <w:r>
        <w:rPr>
          <w:b/>
          <w:bCs/>
        </w:rPr>
        <w:t xml:space="preserve">Search Queries:</w:t>
      </w:r>
      <w:r>
        <w:t xml:space="preserve"> Indexed case-insensitive </w:t>
      </w:r>
      <w:r>
        <w:rPr>
          <w:rFonts w:ascii="Consolas" w:cs="Consolas" w:eastAsia="Consolas" w:hAnsi="Consolas"/>
          <w:sz w:val="20"/>
          <w:szCs w:val="20"/>
          <w:shd w:fill="EEF0F2" w:val="clear"/>
        </w:rPr>
        <w:t xml:space="preserve">LIKE</w:t>
      </w:r>
      <w:r>
        <w:t xml:space="preserve"> lookups on </w:t>
      </w:r>
      <w:r>
        <w:rPr>
          <w:rFonts w:ascii="Consolas" w:cs="Consolas" w:eastAsia="Consolas" w:hAnsi="Consolas"/>
          <w:sz w:val="20"/>
          <w:szCs w:val="20"/>
          <w:shd w:fill="EEF0F2" w:val="clear"/>
        </w:rPr>
        <w:t xml:space="preserve">full_name</w:t>
      </w:r>
    </w:p>
    <w:p>
      <w:pPr>
        <w:pStyle w:val="ListParagraph"/>
        <w:numPr>
          <w:ilvl w:val="0"/>
          <w:numId w:val="4"/>
        </w:numPr>
        <w:spacing w:after="20" w:before="0"/>
      </w:pPr>
      <w:r>
        <w:rPr>
          <w:b/>
          <w:bCs/>
        </w:rPr>
        <w:t xml:space="preserve">Data Loads:</w:t>
      </w:r>
      <w:r>
        <w:t xml:space="preserve"> SPOT to App DB scheduled loads (initial bulk plus daily delta)</w:t>
      </w:r>
    </w:p>
    <w:p>
      <w:pPr>
        <w:spacing w:after="60"/>
      </w:pPr>
    </w:p>
    <w:p>
      <w:pPr>
        <w:pStyle w:val="Heading3"/>
      </w:pPr>
      <w:r>
        <w:t xml:space="preserve">4.2 Search Implementation</w:t>
      </w:r>
    </w:p>
    <w:p>
      <w:pPr>
        <w:spacing w:after="80" w:before="40"/>
      </w:pPr>
      <w:r>
        <w:t xml:space="preserve">Customer search is a case-insensitive substring match on the unified </w:t>
      </w:r>
      <w:r>
        <w:rPr>
          <w:rFonts w:ascii="Consolas" w:cs="Consolas" w:eastAsia="Consolas" w:hAnsi="Consolas"/>
          <w:sz w:val="20"/>
          <w:szCs w:val="20"/>
          <w:shd w:fill="EEF0F2" w:val="clear"/>
        </w:rPr>
        <w:t xml:space="preserve">full_name</w:t>
      </w:r>
      <w:r>
        <w:t xml:space="preserve"> column (and tax id / core-banking identifiers), using a case-insensitive collation. Non-clustered indexes on the search and join columns back the queries, and the search service returns exact, partial, and fuzzy indicators for the caller.</w:t>
      </w:r>
    </w:p>
    <w:p>
      <w:pPr>
        <w:pBdr>
          <w:left w:val="single" w:color="333333" w:sz="18" w:space="8"/>
        </w:pBdr>
        <w:shd w:fill="E4E4E4" w:val="clear"/>
        <w:spacing w:after="80" w:before="80"/>
        <w:ind w:left="240" w:right="120"/>
      </w:pPr>
      <w:r>
        <w:rPr>
          <w:b/>
          <w:bCs/>
        </w:rPr>
        <w:t xml:space="preserve">[CONFIRM]</w:t>
      </w:r>
      <w:r>
        <w:t xml:space="preserve"> If phonetic or similarity ranking is required, SQL Server </w:t>
      </w:r>
      <w:r>
        <w:rPr>
          <w:rFonts w:ascii="Consolas" w:cs="Consolas" w:eastAsia="Consolas" w:hAnsi="Consolas"/>
          <w:sz w:val="20"/>
          <w:szCs w:val="20"/>
          <w:shd w:fill="EEF0F2" w:val="clear"/>
        </w:rPr>
        <w:t xml:space="preserve">SOUNDEX</w:t>
      </w:r>
      <w:r>
        <w:t xml:space="preserve"> / </w:t>
      </w:r>
      <w:r>
        <w:rPr>
          <w:rFonts w:ascii="Consolas" w:cs="Consolas" w:eastAsia="Consolas" w:hAnsi="Consolas"/>
          <w:sz w:val="20"/>
          <w:szCs w:val="20"/>
          <w:shd w:fill="EEF0F2" w:val="clear"/>
        </w:rPr>
        <w:t xml:space="preserve">DIFFERENCE</w:t>
      </w:r>
      <w:r>
        <w:t xml:space="preserve"> (2019) or </w:t>
      </w:r>
      <w:r>
        <w:rPr>
          <w:rFonts w:ascii="Consolas" w:cs="Consolas" w:eastAsia="Consolas" w:hAnsi="Consolas"/>
          <w:sz w:val="20"/>
          <w:szCs w:val="20"/>
          <w:shd w:fill="EEF0F2" w:val="clear"/>
        </w:rPr>
        <w:t xml:space="preserve">STRING_SIMILARITY</w:t>
      </w:r>
      <w:r>
        <w:t xml:space="preserve"> (2022+) can be introduced; the production endpoint currently uses substring </w:t>
      </w:r>
      <w:r>
        <w:rPr>
          <w:rFonts w:ascii="Consolas" w:cs="Consolas" w:eastAsia="Consolas" w:hAnsi="Consolas"/>
          <w:sz w:val="20"/>
          <w:szCs w:val="20"/>
          <w:shd w:fill="EEF0F2" w:val="clear"/>
        </w:rPr>
        <w:t xml:space="preserve">LIKE</w:t>
      </w:r>
      <w:r>
        <w:t xml:space="preserve">.</w:t>
      </w:r>
    </w:p>
    <w:p>
      <w:pPr>
        <w:pStyle w:val="Heading3"/>
      </w:pPr>
      <w:r>
        <w:t xml:space="preserve">4.3 Core Data Models</w:t>
      </w:r>
    </w:p>
    <w:p>
      <w:pPr>
        <w:spacing w:after="80" w:before="40"/>
      </w:pPr>
      <w:r>
        <w:t xml:space="preserve">The core entity relationships are shown below (customers, households, employees, accounts, debit cards, and their junctions). The complete 40-table model is maintained in the companion ERD document.</w:t>
      </w:r>
    </w:p>
    <w:p>
      <w:pPr>
        <w:spacing w:after="80" w:before="40"/>
        <w:jc w:val="center"/>
      </w:pPr>
      <w:r>
        <w:drawing>
          <wp:inline distT="0" distB="0" distL="0" distR="0">
            <wp:extent cx="6286500" cy="3638550"/>
            <wp:effectExtent t="0" r="0" b="0" l="0"/>
            <wp:docPr id="1" name="img-images-arch-core-erd-png" descr="ClientIQ core data model (entity-relationship diagram). Customer relates to household (via household membership), to account (via account ownership), to debit card, and to a relationship-manager employee; account relates to branch and to debit card; debit card relates to a debit-card limit profile; branch relates to region and address. Key attributes shown as SQL Server types (bigint IDENTITY primary keys, varchar, nvarchar(max), datetime2)." title="ClientIQ core data model (entity-relationship diagram). Customer relates to household (via household membership), to account (via account ownership), to debit card, and to a relationship-manager employee; account relates to branch and to debit card; debit card relates to a debit-card limit profile; branch relates to region and address. Key attributes shown as SQL Server types (bigint IDENTITY primary keys, varchar, nvarchar(max), datetim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638550"/>
                    </a:xfrm>
                    <a:prstGeom prst="rect">
                      <a:avLst/>
                    </a:prstGeom>
                  </pic:spPr>
                </pic:pic>
              </a:graphicData>
            </a:graphic>
          </wp:inline>
        </w:drawing>
      </w:r>
    </w:p>
    <w:p>
      <w:pPr>
        <w:pStyle w:val="Heading3"/>
      </w:pPr>
      <w:r>
        <w:t xml:space="preserve">4.4 Data Loading (Vault / SPOT to App DB)</w:t>
      </w:r>
    </w:p>
    <w:p>
      <w:pPr>
        <w:spacing w:after="80" w:before="40"/>
      </w:pPr>
      <w:r>
        <w:t xml:space="preserve">The application database is loaded from the SPOT curated views on a scheduled cadence. Loads run in foreign-key dependency order: lookups first (</w:t>
      </w:r>
      <w:r>
        <w:rPr>
          <w:rFonts w:ascii="Consolas" w:cs="Consolas" w:eastAsia="Consolas" w:hAnsi="Consolas"/>
          <w:sz w:val="20"/>
          <w:szCs w:val="20"/>
          <w:shd w:fill="EEF0F2" w:val="clear"/>
        </w:rPr>
        <w:t xml:space="preserve">branch</w:t>
      </w:r>
      <w:r>
        <w:t xml:space="preserve">, </w:t>
      </w:r>
      <w:r>
        <w:rPr>
          <w:rFonts w:ascii="Consolas" w:cs="Consolas" w:eastAsia="Consolas" w:hAnsi="Consolas"/>
          <w:sz w:val="20"/>
          <w:szCs w:val="20"/>
          <w:shd w:fill="EEF0F2" w:val="clear"/>
        </w:rPr>
        <w:t xml:space="preserve">note_category</w:t>
      </w:r>
      <w:r>
        <w:t xml:space="preserve">, </w:t>
      </w:r>
      <w:r>
        <w:rPr>
          <w:rFonts w:ascii="Consolas" w:cs="Consolas" w:eastAsia="Consolas" w:hAnsi="Consolas"/>
          <w:sz w:val="20"/>
          <w:szCs w:val="20"/>
          <w:shd w:fill="EEF0F2" w:val="clear"/>
        </w:rPr>
        <w:t xml:space="preserve">transaction_category</w:t>
      </w:r>
      <w:r>
        <w:t xml:space="preserve">), then </w:t>
      </w:r>
      <w:r>
        <w:rPr>
          <w:rFonts w:ascii="Consolas" w:cs="Consolas" w:eastAsia="Consolas" w:hAnsi="Consolas"/>
          <w:sz w:val="20"/>
          <w:szCs w:val="20"/>
          <w:shd w:fill="EEF0F2" w:val="clear"/>
        </w:rPr>
        <w:t xml:space="preserve">customer</w:t>
      </w:r>
      <w:r>
        <w:t xml:space="preserve"> and </w:t>
      </w:r>
      <w:r>
        <w:rPr>
          <w:rFonts w:ascii="Consolas" w:cs="Consolas" w:eastAsia="Consolas" w:hAnsi="Consolas"/>
          <w:sz w:val="20"/>
          <w:szCs w:val="20"/>
          <w:shd w:fill="EEF0F2" w:val="clear"/>
        </w:rPr>
        <w:t xml:space="preserve">employee</w:t>
      </w:r>
      <w:r>
        <w:t xml:space="preserve">, then </w:t>
      </w:r>
      <w:r>
        <w:rPr>
          <w:rFonts w:ascii="Consolas" w:cs="Consolas" w:eastAsia="Consolas" w:hAnsi="Consolas"/>
          <w:sz w:val="20"/>
          <w:szCs w:val="20"/>
          <w:shd w:fill="EEF0F2" w:val="clear"/>
        </w:rPr>
        <w:t xml:space="preserve">address</w:t>
      </w:r>
      <w:r>
        <w:t xml:space="preserve">, </w:t>
      </w:r>
      <w:r>
        <w:rPr>
          <w:rFonts w:ascii="Consolas" w:cs="Consolas" w:eastAsia="Consolas" w:hAnsi="Consolas"/>
          <w:sz w:val="20"/>
          <w:szCs w:val="20"/>
          <w:shd w:fill="EEF0F2" w:val="clear"/>
        </w:rPr>
        <w:t xml:space="preserve">contact_info</w:t>
      </w:r>
      <w:r>
        <w:t xml:space="preserve">, </w:t>
      </w:r>
      <w:r>
        <w:rPr>
          <w:rFonts w:ascii="Consolas" w:cs="Consolas" w:eastAsia="Consolas" w:hAnsi="Consolas"/>
          <w:sz w:val="20"/>
          <w:szCs w:val="20"/>
          <w:shd w:fill="EEF0F2" w:val="clear"/>
        </w:rPr>
        <w:t xml:space="preserve">account</w:t>
      </w:r>
      <w:r>
        <w:t xml:space="preserve">, and ownership/household/transaction tables. Loaders are idempotent via </w:t>
      </w:r>
      <w:r>
        <w:rPr>
          <w:rFonts w:ascii="Consolas" w:cs="Consolas" w:eastAsia="Consolas" w:hAnsi="Consolas"/>
          <w:sz w:val="20"/>
          <w:szCs w:val="20"/>
          <w:shd w:fill="EEF0F2" w:val="clear"/>
        </w:rPr>
        <w:t xml:space="preserve">MERGE</w:t>
      </w:r>
      <w:r>
        <w:t xml:space="preserve"> or </w:t>
      </w:r>
      <w:r>
        <w:rPr>
          <w:rFonts w:ascii="Consolas" w:cs="Consolas" w:eastAsia="Consolas" w:hAnsi="Consolas"/>
          <w:sz w:val="20"/>
          <w:szCs w:val="20"/>
          <w:shd w:fill="EEF0F2" w:val="clear"/>
        </w:rPr>
        <w:t xml:space="preserve">NOT EXISTS</w:t>
      </w:r>
      <w:r>
        <w:t xml:space="preserve"> guards, keyed on </w:t>
      </w:r>
      <w:r>
        <w:rPr>
          <w:rFonts w:ascii="Consolas" w:cs="Consolas" w:eastAsia="Consolas" w:hAnsi="Consolas"/>
          <w:sz w:val="20"/>
          <w:szCs w:val="20"/>
          <w:shd w:fill="EEF0F2" w:val="clear"/>
        </w:rPr>
        <w:t xml:space="preserve">jack_henry_cif_number</w:t>
      </w:r>
      <w:r>
        <w:t xml:space="preserve">, </w:t>
      </w:r>
      <w:r>
        <w:rPr>
          <w:rFonts w:ascii="Consolas" w:cs="Consolas" w:eastAsia="Consolas" w:hAnsi="Consolas"/>
          <w:sz w:val="20"/>
          <w:szCs w:val="20"/>
          <w:shd w:fill="EEF0F2" w:val="clear"/>
        </w:rPr>
        <w:t xml:space="preserve">account_number</w:t>
      </w:r>
      <w:r>
        <w:t xml:space="preserve">, </w:t>
      </w:r>
      <w:r>
        <w:rPr>
          <w:rFonts w:ascii="Consolas" w:cs="Consolas" w:eastAsia="Consolas" w:hAnsi="Consolas"/>
          <w:sz w:val="20"/>
          <w:szCs w:val="20"/>
          <w:shd w:fill="EEF0F2" w:val="clear"/>
        </w:rPr>
        <w:t xml:space="preserve">officer_code</w:t>
      </w:r>
      <w:r>
        <w:t xml:space="preserve">, or </w:t>
      </w:r>
      <w:r>
        <w:rPr>
          <w:rFonts w:ascii="Consolas" w:cs="Consolas" w:eastAsia="Consolas" w:hAnsi="Consolas"/>
          <w:sz w:val="20"/>
          <w:szCs w:val="20"/>
          <w:shd w:fill="EEF0F2" w:val="clear"/>
        </w:rPr>
        <w:t xml:space="preserve">branch_code</w:t>
      </w:r>
      <w:r>
        <w:t xml:space="preserve">. Transaction history is loaded for a rolling recent window.</w:t>
      </w:r>
    </w:p>
    <w:p>
      <w:pPr>
        <w:spacing w:after="80" w:before="40"/>
      </w:pPr>
      <w:r>
        <w:t xml:space="preserve">RBAC tables are not part of the data load. SQL Server environments bootstrap RBAC separately via the role-provisioning scripts (</w:t>
      </w:r>
      <w:r>
        <w:rPr>
          <w:rFonts w:ascii="Consolas" w:cs="Consolas" w:eastAsia="Consolas" w:hAnsi="Consolas"/>
          <w:sz w:val="20"/>
          <w:szCs w:val="20"/>
          <w:shd w:fill="EEF0F2" w:val="clear"/>
        </w:rPr>
        <w:t xml:space="preserve">ensure_branch_manager_role.sql</w:t>
      </w:r>
      <w:r>
        <w:t xml:space="preserve">, </w:t>
      </w:r>
      <w:r>
        <w:rPr>
          <w:rFonts w:ascii="Consolas" w:cs="Consolas" w:eastAsia="Consolas" w:hAnsi="Consolas"/>
          <w:sz w:val="20"/>
          <w:szCs w:val="20"/>
          <w:shd w:fill="EEF0F2" w:val="clear"/>
        </w:rPr>
        <w:t xml:space="preserve">ensure_rbac_provenance_columns.sql</w:t>
      </w:r>
      <w:r>
        <w:t xml:space="preserve">).</w:t>
      </w:r>
    </w:p>
    <w:p>
      <w:pPr>
        <w:pBdr>
          <w:left w:val="single" w:color="333333" w:sz="18" w:space="8"/>
        </w:pBdr>
        <w:shd w:fill="E4E4E4" w:val="clear"/>
        <w:spacing w:after="80" w:before="80"/>
        <w:ind w:left="240" w:right="120"/>
      </w:pPr>
      <w:r>
        <w:rPr>
          <w:b/>
          <w:bCs/>
        </w:rPr>
        <w:t xml:space="preserve">[CONFIRM]</w:t>
      </w:r>
      <w:r>
        <w:t xml:space="preserve"> Whether a staging-table and data-quality-validation layer is desired between SPOT and the App DB; the current loaders read SPOT views directly.</w:t>
      </w:r>
    </w:p>
    <w:p>
      <w:pPr>
        <w:pBdr>
          <w:bottom w:val="single" w:color="333333" w:sz="6" w:space="1"/>
        </w:pBdr>
        <w:spacing w:after="80" w:before="80"/>
      </w:pPr>
    </w:p>
    <w:p>
      <w:pPr>
        <w:pStyle w:val="Heading2"/>
      </w:pPr>
      <w:r>
        <w:t xml:space="preserve">5. Technology Stack and Integration Patterns</w:t>
      </w:r>
    </w:p>
    <w:p>
      <w:pPr>
        <w:pStyle w:val="Heading3"/>
      </w:pPr>
      <w:r>
        <w:t xml:space="preserve">5.1 Technology Stack Specification for FMB</w:t>
      </w:r>
    </w:p>
    <w:p>
      <w:pPr>
        <w:spacing w:after="80" w:before="40"/>
      </w:pPr>
      <w:r>
        <w:rPr>
          <w:b/>
          <w:bCs/>
        </w:rPr>
        <w:t xml:space="preserve">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Category</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Technology</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Version</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UI Framework</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React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18.x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Component-based UI</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Language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TypeScript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5.x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Type-safe development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Build Tool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Vite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5.x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Build and dev server</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UI Library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Material-UI (MUI)</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7.x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Enterprise components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State Management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TanStack React Query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5.x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Server-state caching</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Routing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Wouter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3.x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SPA routing</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Form Handling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React Hook Form</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7.x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Performant forms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Validation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Zod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3.x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Schema validation</w:t>
            </w:r>
          </w:p>
        </w:tc>
      </w:tr>
    </w:tbl>
    <w:p>
      <w:pPr>
        <w:spacing w:after="80"/>
      </w:pPr>
    </w:p>
    <w:p>
      <w:pPr>
        <w:spacing w:after="80" w:before="40"/>
      </w:pPr>
      <w:r>
        <w:rPr>
          <w:b/>
          <w:bCs/>
        </w:rPr>
        <w:t xml:space="preserve">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Category</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Technology</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Version</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Node.js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20.x (LTS)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JavaScript runtime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Framework</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Express.js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4.x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Web framework</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Language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TypeScript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5.x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Type-safe backend</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 Driver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mssql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12.x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driver</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Authentication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@node-saml/passport-saml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5.x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2.0 SSO</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 Store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connect-mssql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current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sessions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 Launcher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tsx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4.x</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TypeScript execution</w:t>
            </w:r>
          </w:p>
        </w:tc>
      </w:tr>
    </w:tbl>
    <w:p>
      <w:pPr>
        <w:spacing w:after="80"/>
      </w:pPr>
    </w:p>
    <w:p>
      <w:pPr>
        <w:spacing w:after="80" w:before="40"/>
      </w:pPr>
      <w:r>
        <w:rPr>
          <w:b/>
          <w:bCs/>
        </w:rPr>
        <w:t xml:space="preserve">Database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Category</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Technology</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Primary Database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2019+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Relational database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Search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Indexed </w:t>
            </w:r>
            <w:r>
              <w:rPr>
                <w:rFonts w:ascii="Consolas" w:cs="Consolas" w:eastAsia="Consolas" w:hAnsi="Consolas"/>
                <w:sz w:val="20"/>
                <w:szCs w:val="20"/>
                <w:shd w:fill="EEF0F2" w:val="clear"/>
              </w:rPr>
              <w:t xml:space="preserve">LIKE</w:t>
            </w:r>
            <w:r>
              <w:t xml:space="preserve"> on </w:t>
            </w:r>
            <w:r>
              <w:rPr>
                <w:rFonts w:ascii="Consolas" w:cs="Consolas" w:eastAsia="Consolas" w:hAnsi="Consolas"/>
                <w:sz w:val="20"/>
                <w:szCs w:val="20"/>
                <w:shd w:fill="EEF0F2" w:val="clear"/>
              </w:rPr>
              <w:t xml:space="preserve">full_name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Substring customer search</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High Availability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Always On AG (production)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Automatic failover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Encryption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TDE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Data-at-rest encryption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 Management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table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 persistence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 Loading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Scheduled SQL (SQL Agent)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Vault / SPOT to App DB</w:t>
            </w:r>
          </w:p>
        </w:tc>
      </w:tr>
    </w:tbl>
    <w:p>
      <w:pPr>
        <w:spacing w:after="80"/>
      </w:pPr>
    </w:p>
    <w:p>
      <w:pPr>
        <w:spacing w:after="80" w:before="40"/>
      </w:pPr>
      <w:r>
        <w:rPr>
          <w:b/>
          <w:bCs/>
        </w:rPr>
        <w:t xml:space="preserve">Infrastructure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Category</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Technology</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Operating System</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Server 2019+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App server hosting</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Reverse Proxy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IIS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Load balancing, TLS 1.3 termination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CI/CD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Azure DevOps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Automated build and deploy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Secrets Management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 secured config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Credential storage</w:t>
            </w:r>
          </w:p>
        </w:tc>
      </w:tr>
    </w:tbl>
    <w:p>
      <w:pPr>
        <w:spacing w:after="80"/>
      </w:pPr>
    </w:p>
    <w:p>
      <w:pPr>
        <w:pStyle w:val="Heading3"/>
      </w:pPr>
      <w:r>
        <w:t xml:space="preserve">5.2 Integration Architecture</w:t>
      </w:r>
    </w:p>
    <w:p>
      <w:pPr>
        <w:spacing w:after="80" w:before="40"/>
      </w:pPr>
      <w:r>
        <w:rPr>
          <w:b/>
          <w:bCs/>
        </w:rPr>
        <w:t xml:space="preserve">Integration Patterns for FMB:</w:t>
      </w:r>
    </w:p>
    <w:p>
      <w:pPr>
        <w:pStyle w:val="ListParagraph"/>
        <w:numPr>
          <w:ilvl w:val="0"/>
          <w:numId w:val="5"/>
        </w:numPr>
        <w:spacing w:after="20" w:before="0"/>
      </w:pPr>
      <w:r>
        <w:rPr>
          <w:b/>
          <w:bCs/>
        </w:rPr>
        <w:t xml:space="preserve">SAML 2.0 SSO (Authentication)</w:t>
      </w:r>
    </w:p>
    <w:p>
      <w:pPr>
        <w:pStyle w:val="ListParagraph"/>
        <w:numPr>
          <w:ilvl w:val="1"/>
          <w:numId w:val="2"/>
        </w:numPr>
        <w:spacing w:after="20" w:before="0"/>
      </w:pPr>
      <w:r>
        <w:t xml:space="preserve">Use Case: Enterprise authentication via RSA Identity Provider (preprod and production)</w:t>
      </w:r>
    </w:p>
    <w:p>
      <w:pPr>
        <w:pStyle w:val="ListParagraph"/>
        <w:numPr>
          <w:ilvl w:val="1"/>
          <w:numId w:val="2"/>
        </w:numPr>
        <w:spacing w:after="20" w:before="0"/>
      </w:pPr>
      <w:r>
        <w:t xml:space="preserve">Protocol: HTTPS / XML (SAML assertions)</w:t>
      </w:r>
    </w:p>
    <w:p>
      <w:pPr>
        <w:pStyle w:val="ListParagraph"/>
        <w:numPr>
          <w:ilvl w:val="1"/>
          <w:numId w:val="2"/>
        </w:numPr>
        <w:spacing w:after="20" w:before="0"/>
      </w:pPr>
      <w:r>
        <w:t xml:space="preserve">Flows: SP-initiated login</w:t>
      </w:r>
    </w:p>
    <w:p>
      <w:pPr>
        <w:pStyle w:val="ListParagraph"/>
        <w:numPr>
          <w:ilvl w:val="1"/>
          <w:numId w:val="2"/>
        </w:numPr>
        <w:spacing w:after="20" w:before="0"/>
      </w:pPr>
      <w:r>
        <w:t xml:space="preserve">Assertion Validation: signature verification, audience restriction, timestamp checks</w:t>
      </w:r>
    </w:p>
    <w:p>
      <w:pPr>
        <w:pStyle w:val="ListParagraph"/>
        <w:numPr>
          <w:ilvl w:val="0"/>
          <w:numId w:val="5"/>
        </w:numPr>
        <w:spacing w:after="20" w:before="0"/>
      </w:pPr>
      <w:r>
        <w:rPr>
          <w:b/>
          <w:bCs/>
        </w:rPr>
        <w:t xml:space="preserve">Scheduled Data Load (Data Integration)</w:t>
      </w:r>
    </w:p>
    <w:p>
      <w:pPr>
        <w:pStyle w:val="ListParagraph"/>
        <w:numPr>
          <w:ilvl w:val="1"/>
          <w:numId w:val="2"/>
        </w:numPr>
        <w:spacing w:after="20" w:before="0"/>
      </w:pPr>
      <w:r>
        <w:t xml:space="preserve">Use Case: Daily delta loads from SPOT to the App DB</w:t>
      </w:r>
    </w:p>
    <w:p>
      <w:pPr>
        <w:pStyle w:val="ListParagraph"/>
        <w:numPr>
          <w:ilvl w:val="1"/>
          <w:numId w:val="2"/>
        </w:numPr>
        <w:spacing w:after="20" w:before="0"/>
      </w:pPr>
      <w:r>
        <w:t xml:space="preserve">Protocol: SQL Server views (SPOT)</w:t>
      </w:r>
    </w:p>
    <w:p>
      <w:pPr>
        <w:pStyle w:val="ListParagraph"/>
        <w:numPr>
          <w:ilvl w:val="1"/>
          <w:numId w:val="2"/>
        </w:numPr>
        <w:spacing w:after="20" w:before="0"/>
      </w:pPr>
      <w:r>
        <w:t xml:space="preserve">Schedule: daily (configurable)</w:t>
      </w:r>
    </w:p>
    <w:p>
      <w:pPr>
        <w:pStyle w:val="ListParagraph"/>
        <w:numPr>
          <w:ilvl w:val="1"/>
          <w:numId w:val="2"/>
        </w:numPr>
        <w:spacing w:after="20" w:before="0"/>
      </w:pPr>
      <w:r>
        <w:t xml:space="preserve">Processing: FK-ordered idempotent </w:t>
      </w:r>
      <w:r>
        <w:rPr>
          <w:rFonts w:ascii="Consolas" w:cs="Consolas" w:eastAsia="Consolas" w:hAnsi="Consolas"/>
          <w:sz w:val="20"/>
          <w:szCs w:val="20"/>
          <w:shd w:fill="EEF0F2" w:val="clear"/>
        </w:rPr>
        <w:t xml:space="preserve">MERGE</w:t>
      </w:r>
      <w:r>
        <w:t xml:space="preserve"> / </w:t>
      </w:r>
      <w:r>
        <w:rPr>
          <w:rFonts w:ascii="Consolas" w:cs="Consolas" w:eastAsia="Consolas" w:hAnsi="Consolas"/>
          <w:sz w:val="20"/>
          <w:szCs w:val="20"/>
          <w:shd w:fill="EEF0F2" w:val="clear"/>
        </w:rPr>
        <w:t xml:space="preserve">NOT EXISTS</w:t>
      </w:r>
      <w:r>
        <w:t xml:space="preserve"> loads</w:t>
      </w:r>
    </w:p>
    <w:p>
      <w:pPr>
        <w:spacing w:after="60"/>
      </w:pPr>
    </w:p>
    <w:p>
      <w:pPr>
        <w:spacing w:after="80" w:before="40"/>
      </w:pPr>
      <w:r>
        <w:rPr>
          <w:b/>
          <w:bCs/>
        </w:rPr>
        <w:t xml:space="preserve">API Versioning Strategy:</w:t>
      </w:r>
      <w:r>
        <w:t xml:space="preserve"> The API is currently unversioned (routes are served under </w:t>
      </w:r>
      <w:r>
        <w:rPr>
          <w:rFonts w:ascii="Consolas" w:cs="Consolas" w:eastAsia="Consolas" w:hAnsi="Consolas"/>
          <w:sz w:val="20"/>
          <w:szCs w:val="20"/>
          <w:shd w:fill="EEF0F2" w:val="clear"/>
        </w:rPr>
        <w:t xml:space="preserve">/api/*</w:t>
      </w:r>
      <w:r>
        <w:t xml:space="preserve"> with no </w:t>
      </w:r>
      <w:r>
        <w:rPr>
          <w:rFonts w:ascii="Consolas" w:cs="Consolas" w:eastAsia="Consolas" w:hAnsi="Consolas"/>
          <w:sz w:val="20"/>
          <w:szCs w:val="20"/>
          <w:shd w:fill="EEF0F2" w:val="clear"/>
        </w:rPr>
        <w:t xml:space="preserve">/api/v1</w:t>
      </w:r>
      <w:r>
        <w:t xml:space="preserve"> prefix). URL versioning and a deprecation policy are a roadmap item.</w:t>
      </w:r>
    </w:p>
    <w:p>
      <w:pPr>
        <w:spacing w:after="80" w:before="40"/>
      </w:pPr>
      <w:r>
        <w:rPr>
          <w:b/>
          <w:bCs/>
        </w:rPr>
        <w:t xml:space="preserve">Integration Security:</w:t>
      </w:r>
    </w:p>
    <w:p>
      <w:pPr>
        <w:pStyle w:val="ListParagraph"/>
        <w:numPr>
          <w:ilvl w:val="0"/>
          <w:numId w:val="2"/>
        </w:numPr>
        <w:spacing w:after="20" w:before="0"/>
      </w:pPr>
      <w:r>
        <w:rPr>
          <w:b/>
          <w:bCs/>
        </w:rPr>
        <w:t xml:space="preserve">TLS 1.3:</w:t>
      </w:r>
      <w:r>
        <w:t xml:space="preserve"> all external communications encrypted</w:t>
      </w:r>
    </w:p>
    <w:p>
      <w:pPr>
        <w:pStyle w:val="ListParagraph"/>
        <w:numPr>
          <w:ilvl w:val="0"/>
          <w:numId w:val="2"/>
        </w:numPr>
        <w:spacing w:after="20" w:before="0"/>
      </w:pPr>
      <w:r>
        <w:rPr>
          <w:b/>
          <w:bCs/>
        </w:rPr>
        <w:t xml:space="preserve">IP Allowlisting:</w:t>
      </w:r>
      <w:r>
        <w:t xml:space="preserve"> production access restricted to the FMB network</w:t>
      </w:r>
    </w:p>
    <w:p>
      <w:pPr>
        <w:spacing w:after="60"/>
      </w:pPr>
    </w:p>
    <w:p>
      <w:pPr>
        <w:pStyle w:val="Heading3"/>
      </w:pPr>
      <w:r>
        <w:t xml:space="preserve">5.3 API Catalog (Abridged)</w:t>
      </w:r>
    </w:p>
    <w:p>
      <w:pPr>
        <w:spacing w:after="80" w:before="40"/>
      </w:pPr>
      <w:r>
        <w:rPr>
          <w:b/>
          <w:bCs/>
        </w:rPr>
        <w:t xml:space="preserve">Customer APIs:</w:t>
      </w:r>
    </w:p>
    <w:p>
      <w:pPr>
        <w:pStyle w:val="ListParagraph"/>
        <w:numPr>
          <w:ilvl w:val="0"/>
          <w:numId w:val="2"/>
        </w:numPr>
        <w:spacing w:after="20" w:before="0"/>
      </w:pPr>
      <w:r>
        <w:rPr>
          <w:rFonts w:ascii="Consolas" w:cs="Consolas" w:eastAsia="Consolas" w:hAnsi="Consolas"/>
          <w:sz w:val="20"/>
          <w:szCs w:val="20"/>
          <w:shd w:fill="EEF0F2" w:val="clear"/>
        </w:rPr>
        <w:t xml:space="preserve">GET /api/customers/search?q={query}</w:t>
      </w:r>
      <w:r>
        <w:t xml:space="preserve"> : customer search (indexed </w:t>
      </w:r>
      <w:r>
        <w:rPr>
          <w:rFonts w:ascii="Consolas" w:cs="Consolas" w:eastAsia="Consolas" w:hAnsi="Consolas"/>
          <w:sz w:val="20"/>
          <w:szCs w:val="20"/>
          <w:shd w:fill="EEF0F2" w:val="clear"/>
        </w:rPr>
        <w:t xml:space="preserve">LIKE</w:t>
      </w:r>
      <w:r>
        <w:t xml:space="preserve">)</w:t>
      </w:r>
    </w:p>
    <w:p>
      <w:pPr>
        <w:pStyle w:val="ListParagraph"/>
        <w:numPr>
          <w:ilvl w:val="0"/>
          <w:numId w:val="2"/>
        </w:numPr>
        <w:spacing w:after="20" w:before="0"/>
      </w:pPr>
      <w:r>
        <w:rPr>
          <w:rFonts w:ascii="Consolas" w:cs="Consolas" w:eastAsia="Consolas" w:hAnsi="Consolas"/>
          <w:sz w:val="20"/>
          <w:szCs w:val="20"/>
          <w:shd w:fill="EEF0F2" w:val="clear"/>
        </w:rPr>
        <w:t xml:space="preserve">GET /api/customers/:id</w:t>
      </w:r>
      <w:r>
        <w:t xml:space="preserve"> : customer profile with nested data</w:t>
      </w:r>
    </w:p>
    <w:p>
      <w:pPr>
        <w:pStyle w:val="ListParagraph"/>
        <w:numPr>
          <w:ilvl w:val="0"/>
          <w:numId w:val="2"/>
        </w:numPr>
        <w:spacing w:after="20" w:before="0"/>
      </w:pPr>
      <w:r>
        <w:rPr>
          <w:rFonts w:ascii="Consolas" w:cs="Consolas" w:eastAsia="Consolas" w:hAnsi="Consolas"/>
          <w:sz w:val="20"/>
          <w:szCs w:val="20"/>
          <w:shd w:fill="EEF0F2" w:val="clear"/>
        </w:rPr>
        <w:t xml:space="preserve">GET /api/customers/:id/accounts</w:t>
      </w:r>
      <w:r>
        <w:t xml:space="preserve"> : customer accounts</w:t>
      </w:r>
    </w:p>
    <w:p>
      <w:pPr>
        <w:pStyle w:val="ListParagraph"/>
        <w:numPr>
          <w:ilvl w:val="0"/>
          <w:numId w:val="2"/>
        </w:numPr>
        <w:spacing w:after="20" w:before="0"/>
      </w:pPr>
      <w:r>
        <w:rPr>
          <w:rFonts w:ascii="Consolas" w:cs="Consolas" w:eastAsia="Consolas" w:hAnsi="Consolas"/>
          <w:sz w:val="20"/>
          <w:szCs w:val="20"/>
          <w:shd w:fill="EEF0F2" w:val="clear"/>
        </w:rPr>
        <w:t xml:space="preserve">GET /api/customers/:id/transactions</w:t>
      </w:r>
      <w:r>
        <w:t xml:space="preserve"> : customer transactions</w:t>
      </w:r>
    </w:p>
    <w:p>
      <w:pPr>
        <w:pStyle w:val="ListParagraph"/>
        <w:numPr>
          <w:ilvl w:val="0"/>
          <w:numId w:val="2"/>
        </w:numPr>
        <w:spacing w:after="20" w:before="0"/>
      </w:pPr>
      <w:r>
        <w:rPr>
          <w:rFonts w:ascii="Consolas" w:cs="Consolas" w:eastAsia="Consolas" w:hAnsi="Consolas"/>
          <w:sz w:val="20"/>
          <w:szCs w:val="20"/>
          <w:shd w:fill="EEF0F2" w:val="clear"/>
        </w:rPr>
        <w:t xml:space="preserve">GET /api/customers/:id/households</w:t>
      </w:r>
      <w:r>
        <w:t xml:space="preserve"> : customer households</w:t>
      </w:r>
    </w:p>
    <w:p>
      <w:pPr>
        <w:pStyle w:val="ListParagraph"/>
        <w:numPr>
          <w:ilvl w:val="0"/>
          <w:numId w:val="2"/>
        </w:numPr>
        <w:spacing w:after="20" w:before="0"/>
      </w:pPr>
      <w:r>
        <w:rPr>
          <w:rFonts w:ascii="Consolas" w:cs="Consolas" w:eastAsia="Consolas" w:hAnsi="Consolas"/>
          <w:sz w:val="20"/>
          <w:szCs w:val="20"/>
          <w:shd w:fill="EEF0F2" w:val="clear"/>
        </w:rPr>
        <w:t xml:space="preserve">GET /api/customers/:id/notes</w:t>
      </w:r>
      <w:r>
        <w:t xml:space="preserve"> : customer notes</w:t>
      </w:r>
    </w:p>
    <w:p>
      <w:pPr>
        <w:pStyle w:val="ListParagraph"/>
        <w:numPr>
          <w:ilvl w:val="0"/>
          <w:numId w:val="2"/>
        </w:numPr>
        <w:spacing w:after="20" w:before="0"/>
      </w:pPr>
      <w:r>
        <w:rPr>
          <w:rFonts w:ascii="Consolas" w:cs="Consolas" w:eastAsia="Consolas" w:hAnsi="Consolas"/>
          <w:sz w:val="20"/>
          <w:szCs w:val="20"/>
          <w:shd w:fill="EEF0F2" w:val="clear"/>
        </w:rPr>
        <w:t xml:space="preserve">POST /api/customers/:id/notes</w:t>
      </w:r>
      <w:r>
        <w:t xml:space="preserve"> : create customer note</w:t>
      </w:r>
    </w:p>
    <w:p>
      <w:pPr>
        <w:pStyle w:val="ListParagraph"/>
        <w:numPr>
          <w:ilvl w:val="0"/>
          <w:numId w:val="2"/>
        </w:numPr>
        <w:spacing w:after="20" w:before="0"/>
      </w:pPr>
      <w:r>
        <w:rPr>
          <w:rFonts w:ascii="Consolas" w:cs="Consolas" w:eastAsia="Consolas" w:hAnsi="Consolas"/>
          <w:sz w:val="20"/>
          <w:szCs w:val="20"/>
          <w:shd w:fill="EEF0F2" w:val="clear"/>
        </w:rPr>
        <w:t xml:space="preserve">PATCH /api/notes/:id</w:t>
      </w:r>
      <w:r>
        <w:t xml:space="preserve"> : update note (creates a new version)</w:t>
      </w:r>
    </w:p>
    <w:p>
      <w:pPr>
        <w:pStyle w:val="ListParagraph"/>
        <w:numPr>
          <w:ilvl w:val="0"/>
          <w:numId w:val="2"/>
        </w:numPr>
        <w:spacing w:after="20" w:before="0"/>
      </w:pPr>
      <w:r>
        <w:rPr>
          <w:rFonts w:ascii="Consolas" w:cs="Consolas" w:eastAsia="Consolas" w:hAnsi="Consolas"/>
          <w:sz w:val="20"/>
          <w:szCs w:val="20"/>
          <w:shd w:fill="EEF0F2" w:val="clear"/>
        </w:rPr>
        <w:t xml:space="preserve">DELETE /api/notes/:id</w:t>
      </w:r>
      <w:r>
        <w:t xml:space="preserve"> : soft-delete note</w:t>
      </w:r>
    </w:p>
    <w:p>
      <w:pPr>
        <w:spacing w:after="60"/>
      </w:pPr>
    </w:p>
    <w:p>
      <w:pPr>
        <w:spacing w:after="80" w:before="40"/>
      </w:pPr>
      <w:r>
        <w:rPr>
          <w:b/>
          <w:bCs/>
        </w:rPr>
        <w:t xml:space="preserve">Account APIs:</w:t>
      </w:r>
    </w:p>
    <w:p>
      <w:pPr>
        <w:pStyle w:val="ListParagraph"/>
        <w:numPr>
          <w:ilvl w:val="0"/>
          <w:numId w:val="2"/>
        </w:numPr>
        <w:spacing w:after="20" w:before="0"/>
      </w:pPr>
      <w:r>
        <w:rPr>
          <w:rFonts w:ascii="Consolas" w:cs="Consolas" w:eastAsia="Consolas" w:hAnsi="Consolas"/>
          <w:sz w:val="20"/>
          <w:szCs w:val="20"/>
          <w:shd w:fill="EEF0F2" w:val="clear"/>
        </w:rPr>
        <w:t xml:space="preserve">GET /api/accounts/:id</w:t>
      </w:r>
      <w:r>
        <w:t xml:space="preserve"> : account details</w:t>
      </w:r>
    </w:p>
    <w:p>
      <w:pPr>
        <w:pStyle w:val="ListParagraph"/>
        <w:numPr>
          <w:ilvl w:val="0"/>
          <w:numId w:val="2"/>
        </w:numPr>
        <w:spacing w:after="20" w:before="0"/>
      </w:pPr>
      <w:r>
        <w:rPr>
          <w:rFonts w:ascii="Consolas" w:cs="Consolas" w:eastAsia="Consolas" w:hAnsi="Consolas"/>
          <w:sz w:val="20"/>
          <w:szCs w:val="20"/>
          <w:shd w:fill="EEF0F2" w:val="clear"/>
        </w:rPr>
        <w:t xml:space="preserve">GET /api/accounts/:id/owners</w:t>
      </w:r>
      <w:r>
        <w:t xml:space="preserve"> : account owners</w:t>
      </w:r>
    </w:p>
    <w:p>
      <w:pPr>
        <w:pStyle w:val="ListParagraph"/>
        <w:numPr>
          <w:ilvl w:val="0"/>
          <w:numId w:val="2"/>
        </w:numPr>
        <w:spacing w:after="20" w:before="0"/>
      </w:pPr>
      <w:r>
        <w:rPr>
          <w:rFonts w:ascii="Consolas" w:cs="Consolas" w:eastAsia="Consolas" w:hAnsi="Consolas"/>
          <w:sz w:val="20"/>
          <w:szCs w:val="20"/>
          <w:shd w:fill="EEF0F2" w:val="clear"/>
        </w:rPr>
        <w:t xml:space="preserve">GET /api/accounts/:id/transactions</w:t>
      </w:r>
      <w:r>
        <w:t xml:space="preserve"> : account transactions</w:t>
      </w:r>
    </w:p>
    <w:p>
      <w:pPr>
        <w:pStyle w:val="ListParagraph"/>
        <w:numPr>
          <w:ilvl w:val="0"/>
          <w:numId w:val="2"/>
        </w:numPr>
        <w:spacing w:after="20" w:before="0"/>
      </w:pPr>
      <w:r>
        <w:rPr>
          <w:rFonts w:ascii="Consolas" w:cs="Consolas" w:eastAsia="Consolas" w:hAnsi="Consolas"/>
          <w:sz w:val="20"/>
          <w:szCs w:val="20"/>
          <w:shd w:fill="EEF0F2" w:val="clear"/>
        </w:rPr>
        <w:t xml:space="preserve">GET /api/accounts/:id/debit-cards</w:t>
      </w:r>
      <w:r>
        <w:t xml:space="preserve"> : debit cards for account</w:t>
      </w:r>
    </w:p>
    <w:p>
      <w:pPr>
        <w:spacing w:after="60"/>
      </w:pPr>
    </w:p>
    <w:p>
      <w:pPr>
        <w:spacing w:after="80" w:before="40"/>
      </w:pPr>
      <w:r>
        <w:rPr>
          <w:b/>
          <w:bCs/>
        </w:rPr>
        <w:t xml:space="preserve">Household APIs:</w:t>
      </w:r>
    </w:p>
    <w:p>
      <w:pPr>
        <w:pStyle w:val="ListParagraph"/>
        <w:numPr>
          <w:ilvl w:val="0"/>
          <w:numId w:val="2"/>
        </w:numPr>
        <w:spacing w:after="20" w:before="0"/>
      </w:pPr>
      <w:r>
        <w:rPr>
          <w:rFonts w:ascii="Consolas" w:cs="Consolas" w:eastAsia="Consolas" w:hAnsi="Consolas"/>
          <w:sz w:val="20"/>
          <w:szCs w:val="20"/>
          <w:shd w:fill="EEF0F2" w:val="clear"/>
        </w:rPr>
        <w:t xml:space="preserve">GET /api/households/:id</w:t>
      </w:r>
      <w:r>
        <w:t xml:space="preserve"> : household details</w:t>
      </w:r>
    </w:p>
    <w:p>
      <w:pPr>
        <w:pStyle w:val="ListParagraph"/>
        <w:numPr>
          <w:ilvl w:val="0"/>
          <w:numId w:val="2"/>
        </w:numPr>
        <w:spacing w:after="20" w:before="0"/>
      </w:pPr>
      <w:r>
        <w:rPr>
          <w:rFonts w:ascii="Consolas" w:cs="Consolas" w:eastAsia="Consolas" w:hAnsi="Consolas"/>
          <w:sz w:val="20"/>
          <w:szCs w:val="20"/>
          <w:shd w:fill="EEF0F2" w:val="clear"/>
        </w:rPr>
        <w:t xml:space="preserve">GET /api/households/:id/members</w:t>
      </w:r>
      <w:r>
        <w:t xml:space="preserve"> : household members</w:t>
      </w:r>
    </w:p>
    <w:p>
      <w:pPr>
        <w:pStyle w:val="ListParagraph"/>
        <w:numPr>
          <w:ilvl w:val="0"/>
          <w:numId w:val="2"/>
        </w:numPr>
        <w:spacing w:after="20" w:before="0"/>
      </w:pPr>
      <w:r>
        <w:rPr>
          <w:rFonts w:ascii="Consolas" w:cs="Consolas" w:eastAsia="Consolas" w:hAnsi="Consolas"/>
          <w:sz w:val="20"/>
          <w:szCs w:val="20"/>
          <w:shd w:fill="EEF0F2" w:val="clear"/>
        </w:rPr>
        <w:t xml:space="preserve">GET /api/households/:id/accounts</w:t>
      </w:r>
      <w:r>
        <w:t xml:space="preserve"> : household accounts</w:t>
      </w:r>
    </w:p>
    <w:p>
      <w:pPr>
        <w:spacing w:after="60"/>
      </w:pPr>
    </w:p>
    <w:p>
      <w:pPr>
        <w:spacing w:after="80" w:before="40"/>
      </w:pPr>
      <w:r>
        <w:rPr>
          <w:b/>
          <w:bCs/>
        </w:rPr>
        <w:t xml:space="preserve">Authentication APIs:</w:t>
      </w:r>
    </w:p>
    <w:p>
      <w:pPr>
        <w:pStyle w:val="ListParagraph"/>
        <w:numPr>
          <w:ilvl w:val="0"/>
          <w:numId w:val="2"/>
        </w:numPr>
        <w:spacing w:after="20" w:before="0"/>
      </w:pPr>
      <w:r>
        <w:rPr>
          <w:rFonts w:ascii="Consolas" w:cs="Consolas" w:eastAsia="Consolas" w:hAnsi="Consolas"/>
          <w:sz w:val="20"/>
          <w:szCs w:val="20"/>
          <w:shd w:fill="EEF0F2" w:val="clear"/>
        </w:rPr>
        <w:t xml:space="preserve">GET /saml/login</w:t>
      </w:r>
      <w:r>
        <w:t xml:space="preserve"> : initiate SAML login (RSA IdP)</w:t>
      </w:r>
    </w:p>
    <w:p>
      <w:pPr>
        <w:pStyle w:val="ListParagraph"/>
        <w:numPr>
          <w:ilvl w:val="0"/>
          <w:numId w:val="2"/>
        </w:numPr>
        <w:spacing w:after="20" w:before="0"/>
      </w:pPr>
      <w:r>
        <w:rPr>
          <w:rFonts w:ascii="Consolas" w:cs="Consolas" w:eastAsia="Consolas" w:hAnsi="Consolas"/>
          <w:sz w:val="20"/>
          <w:szCs w:val="20"/>
          <w:shd w:fill="EEF0F2" w:val="clear"/>
        </w:rPr>
        <w:t xml:space="preserve">POST /saml/acs</w:t>
      </w:r>
      <w:r>
        <w:t xml:space="preserve"> : Assertion Consumer Service</w:t>
      </w:r>
    </w:p>
    <w:p>
      <w:pPr>
        <w:pStyle w:val="ListParagraph"/>
        <w:numPr>
          <w:ilvl w:val="0"/>
          <w:numId w:val="2"/>
        </w:numPr>
        <w:spacing w:after="20" w:before="0"/>
      </w:pPr>
      <w:r>
        <w:rPr>
          <w:rFonts w:ascii="Consolas" w:cs="Consolas" w:eastAsia="Consolas" w:hAnsi="Consolas"/>
          <w:sz w:val="20"/>
          <w:szCs w:val="20"/>
          <w:shd w:fill="EEF0F2" w:val="clear"/>
        </w:rPr>
        <w:t xml:space="preserve">GET /saml/metadata</w:t>
      </w:r>
      <w:r>
        <w:t xml:space="preserve"> : Service Provider metadata</w:t>
      </w:r>
    </w:p>
    <w:p>
      <w:pPr>
        <w:pStyle w:val="ListParagraph"/>
        <w:numPr>
          <w:ilvl w:val="0"/>
          <w:numId w:val="2"/>
        </w:numPr>
        <w:spacing w:after="20" w:before="0"/>
      </w:pPr>
      <w:r>
        <w:rPr>
          <w:rFonts w:ascii="Consolas" w:cs="Consolas" w:eastAsia="Consolas" w:hAnsi="Consolas"/>
          <w:sz w:val="20"/>
          <w:szCs w:val="20"/>
          <w:shd w:fill="EEF0F2" w:val="clear"/>
        </w:rPr>
        <w:t xml:space="preserve">GET /saml/logout</w:t>
      </w:r>
      <w:r>
        <w:t xml:space="preserve"> : initiate logout</w:t>
      </w:r>
    </w:p>
    <w:p>
      <w:pPr>
        <w:spacing w:after="60"/>
      </w:pPr>
    </w:p>
    <w:p>
      <w:pPr>
        <w:spacing w:after="80" w:before="40"/>
      </w:pPr>
      <w:r>
        <w:rPr>
          <w:b/>
          <w:bCs/>
        </w:rPr>
        <w:t xml:space="preserve">Authorization APIs:</w:t>
      </w:r>
    </w:p>
    <w:p>
      <w:pPr>
        <w:pStyle w:val="ListParagraph"/>
        <w:numPr>
          <w:ilvl w:val="0"/>
          <w:numId w:val="2"/>
        </w:numPr>
        <w:spacing w:after="20" w:before="0"/>
      </w:pPr>
      <w:r>
        <w:rPr>
          <w:rFonts w:ascii="Consolas" w:cs="Consolas" w:eastAsia="Consolas" w:hAnsi="Consolas"/>
          <w:sz w:val="20"/>
          <w:szCs w:val="20"/>
          <w:shd w:fill="EEF0F2" w:val="clear"/>
        </w:rPr>
        <w:t xml:space="preserve">GET /api/auth/permissions</w:t>
      </w:r>
      <w:r>
        <w:t xml:space="preserve"> : user permissions</w:t>
      </w:r>
    </w:p>
    <w:p>
      <w:pPr>
        <w:pStyle w:val="ListParagraph"/>
        <w:numPr>
          <w:ilvl w:val="0"/>
          <w:numId w:val="2"/>
        </w:numPr>
        <w:spacing w:after="20" w:before="0"/>
      </w:pPr>
      <w:r>
        <w:rPr>
          <w:rFonts w:ascii="Consolas" w:cs="Consolas" w:eastAsia="Consolas" w:hAnsi="Consolas"/>
          <w:sz w:val="20"/>
          <w:szCs w:val="20"/>
          <w:shd w:fill="EEF0F2" w:val="clear"/>
        </w:rPr>
        <w:t xml:space="preserve">POST /api/auth/check-permission</w:t>
      </w:r>
      <w:r>
        <w:t xml:space="preserve"> : conditional permission check</w:t>
      </w:r>
    </w:p>
    <w:p>
      <w:pPr>
        <w:pStyle w:val="ListParagraph"/>
        <w:numPr>
          <w:ilvl w:val="0"/>
          <w:numId w:val="2"/>
        </w:numPr>
        <w:spacing w:after="20" w:before="0"/>
      </w:pPr>
      <w:r>
        <w:rPr>
          <w:rFonts w:ascii="Consolas" w:cs="Consolas" w:eastAsia="Consolas" w:hAnsi="Consolas"/>
          <w:sz w:val="20"/>
          <w:szCs w:val="20"/>
          <w:shd w:fill="EEF0F2" w:val="clear"/>
        </w:rPr>
        <w:t xml:space="preserve">GET /api/admin/users</w:t>
      </w:r>
      <w:r>
        <w:t xml:space="preserve"> : list users (admin only)</w:t>
      </w:r>
    </w:p>
    <w:p>
      <w:pPr>
        <w:pStyle w:val="ListParagraph"/>
        <w:numPr>
          <w:ilvl w:val="0"/>
          <w:numId w:val="2"/>
        </w:numPr>
        <w:spacing w:after="20" w:before="0"/>
      </w:pPr>
      <w:r>
        <w:rPr>
          <w:rFonts w:ascii="Consolas" w:cs="Consolas" w:eastAsia="Consolas" w:hAnsi="Consolas"/>
          <w:sz w:val="20"/>
          <w:szCs w:val="20"/>
          <w:shd w:fill="EEF0F2" w:val="clear"/>
        </w:rPr>
        <w:t xml:space="preserve">POST /api/admin/users/:id/roles/manual</w:t>
      </w:r>
      <w:r>
        <w:t xml:space="preserve"> : assign role (admin only)</w:t>
      </w:r>
    </w:p>
    <w:p>
      <w:pPr>
        <w:spacing w:after="60"/>
      </w:pPr>
    </w:p>
    <w:p>
      <w:pPr>
        <w:pBdr>
          <w:bottom w:val="single" w:color="333333" w:sz="6" w:space="1"/>
        </w:pBdr>
        <w:spacing w:after="80" w:before="80"/>
      </w:pPr>
    </w:p>
    <w:p>
      <w:pPr>
        <w:pStyle w:val="Heading2"/>
      </w:pPr>
      <w:r>
        <w:t xml:space="preserve">6. Infrastructure and Deployment Architecture</w:t>
      </w:r>
    </w:p>
    <w:p>
      <w:pPr>
        <w:pStyle w:val="Heading3"/>
      </w:pPr>
      <w:r>
        <w:t xml:space="preserve">6.1 FMB Deployment Topology (Four Environments)</w:t>
      </w:r>
    </w:p>
    <w:p>
      <w:pPr>
        <w:spacing w:after="80" w:before="40"/>
      </w:pPr>
      <w:r>
        <w:t xml:space="preserve">ClientIQ runs in four environments: dev, test, preprod, and prod. Dev, test, and preprod each run a single application server and a single SQL Server database. Production is the high-availability tier: an IIS reverse-proxy pair fronts two application servers, backed by a SQL Server Always On Availability Group. SAML SSO is enabled in preprod and production only; dev and test use local mock authentication.</w:t>
      </w:r>
    </w:p>
    <w:p>
      <w:pPr>
        <w:spacing w:after="80" w:before="40"/>
      </w:pPr>
      <w:r>
        <w:t xml:space="preserve">Data classification differs by environment: development uses synthetic data, test uses masked / obfuscated data, and preprod and production carry production data (preprod access is restricted to bankers, with RSA SSO enabled).</w:t>
      </w:r>
    </w:p>
    <w:p>
      <w:pPr>
        <w:spacing w:after="80" w:before="40"/>
        <w:jc w:val="center"/>
      </w:pPr>
      <w:r>
        <w:drawing>
          <wp:inline distT="0" distB="0" distL="0" distR="0">
            <wp:extent cx="6286500" cy="1562100"/>
            <wp:effectExtent t="0" r="0" b="0" l="0"/>
            <wp:docPr id="1" name="img-images-arch-deployment-png" descr="ClientIQ deployment topology across four environments. Development (branch develop, synthetic data), Test (branch test, masked / obfuscated data), and Pre-production (branch preprod, SSO on, production data restricted to bankers) each run a single app server and a standalone SQL Server. Production (branch prod, SSO on, production data) runs an IIS reverse-proxy HA pair fronting two app servers, backed by a SQL Server Always On Availability Group (2 nodes, synchronous commit, automatic failover)." title="ClientIQ deployment topology across four environments. Development (branch develop, synthetic data), Test (branch test, masked / obfuscated data), and Pre-production (branch preprod, SSO on, production data restricted to bankers) each run a single app server and a standalone SQL Server. Production (branch prod, SSO on, production data) runs an IIS reverse-proxy HA pair fronting two app servers, backed by a SQL Server Always On Availability Group (2 nodes, synchronous commit, automatic fai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1562100"/>
                    </a:xfrm>
                    <a:prstGeom prst="rect">
                      <a:avLst/>
                    </a:prstGeom>
                  </pic:spPr>
                </pic:pic>
              </a:graphicData>
            </a:graphic>
          </wp:inline>
        </w:drawing>
      </w:r>
    </w:p>
    <w:p>
      <w:pPr>
        <w:spacing w:after="80" w:before="40"/>
      </w:pPr>
      <w:r>
        <w:rPr>
          <w:b/>
          <w:bCs/>
        </w:rPr>
        <w:t xml:space="preserve">Environment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Environment</w:t>
            </w:r>
          </w:p>
        </w:tc>
        <w:tc>
          <w:tcPr>
            <w:tcW w:type="dxa" w:w="1337"/>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App Servers</w:t>
            </w:r>
          </w:p>
        </w:tc>
        <w:tc>
          <w:tcPr>
            <w:tcW w:type="dxa" w:w="1337"/>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SQL Server</w:t>
            </w:r>
          </w:p>
        </w:tc>
        <w:tc>
          <w:tcPr>
            <w:tcW w:type="dxa" w:w="1337"/>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IIS</w:t>
            </w:r>
          </w:p>
        </w:tc>
        <w:tc>
          <w:tcPr>
            <w:tcW w:type="dxa" w:w="1337"/>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SSO</w:t>
            </w:r>
          </w:p>
        </w:tc>
        <w:tc>
          <w:tcPr>
            <w:tcW w:type="dxa" w:w="1337"/>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Data classification</w:t>
            </w:r>
          </w:p>
        </w:tc>
        <w:tc>
          <w:tcPr>
            <w:tcW w:type="dxa" w:w="1338"/>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r>
      <w:t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Development</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Standalone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Single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Off (mock)</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Synthetic data</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Feature dev, integration testing</w:t>
            </w:r>
          </w:p>
        </w:tc>
      </w:tr>
      <w:t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Test</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Standalone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Single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Off (mock)</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Masked / obfuscated data</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QA and regression testing</w:t>
            </w:r>
          </w:p>
        </w:tc>
      </w:tr>
      <w:t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Pre-production</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1</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Standalone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Single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On (RSA)</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Production data, bankers only</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Pre-production validation</w:t>
            </w:r>
          </w:p>
        </w:tc>
      </w:tr>
      <w:t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Production</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2</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Always On AG (2-node)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HA pair</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On (RSA)</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Production data</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Live system, high-availability SLA</w:t>
            </w:r>
          </w:p>
        </w:tc>
      </w:tr>
    </w:tbl>
    <w:p>
      <w:pPr>
        <w:spacing w:after="80"/>
      </w:pPr>
    </w:p>
    <w:p>
      <w:pPr>
        <w:pBdr>
          <w:left w:val="single" w:color="333333" w:sz="18" w:space="8"/>
        </w:pBdr>
        <w:shd w:fill="E4E4E4" w:val="clear"/>
        <w:spacing w:after="80" w:before="80"/>
        <w:ind w:left="240" w:right="120"/>
      </w:pPr>
      <w:r>
        <w:rPr>
          <w:b/>
          <w:bCs/>
        </w:rPr>
        <w:t xml:space="preserve">[CONFIRM]</w:t>
      </w:r>
      <w:r>
        <w:t xml:space="preserve"> Host FQDNs, IIS binding and ARR configuration, TLS certificate owners/paths, the production load-balancer product, and SQL Server Always On node sizing.</w:t>
      </w:r>
    </w:p>
    <w:p>
      <w:pPr>
        <w:pStyle w:val="Heading3"/>
      </w:pPr>
      <w:r>
        <w:t xml:space="preserve">6.2 Deployment Strategy for FMB</w:t>
      </w:r>
    </w:p>
    <w:p>
      <w:pPr>
        <w:spacing w:after="80" w:before="40"/>
      </w:pPr>
      <w:r>
        <w:t xml:space="preserve">Deployment promotes through the four environments in order (develop, test, preprod, prod). Each stage is driven by the Azure DevOps pipeline:</w:t>
      </w:r>
    </w:p>
    <w:p>
      <w:pPr>
        <w:pStyle w:val="ListParagraph"/>
        <w:numPr>
          <w:ilvl w:val="0"/>
          <w:numId w:val="6"/>
        </w:numPr>
        <w:spacing w:after="20" w:before="0"/>
      </w:pPr>
      <w:r>
        <w:rPr>
          <w:b/>
          <w:bCs/>
        </w:rPr>
        <w:t xml:space="preserve">Development:</w:t>
      </w:r>
      <w:r>
        <w:t xml:space="preserve"> Developers commit to the </w:t>
      </w:r>
      <w:r>
        <w:rPr>
          <w:rFonts w:ascii="Consolas" w:cs="Consolas" w:eastAsia="Consolas" w:hAnsi="Consolas"/>
          <w:sz w:val="20"/>
          <w:szCs w:val="20"/>
          <w:shd w:fill="EEF0F2" w:val="clear"/>
        </w:rPr>
        <w:t xml:space="preserve">develop</w:t>
      </w:r>
      <w:r>
        <w:t xml:space="preserve"> branch. Azure DevOps triggers the build pipeline (install, lint, type-check, unit tests, build) and deploys to the dev environment for smoke testing.</w:t>
      </w:r>
    </w:p>
    <w:p>
      <w:pPr>
        <w:pStyle w:val="ListParagraph"/>
        <w:numPr>
          <w:ilvl w:val="0"/>
          <w:numId w:val="6"/>
        </w:numPr>
        <w:spacing w:after="20" w:before="0"/>
      </w:pPr>
      <w:r>
        <w:rPr>
          <w:b/>
          <w:bCs/>
        </w:rPr>
        <w:t xml:space="preserve">Test:</w:t>
      </w:r>
      <w:r>
        <w:t xml:space="preserve"> Changes promote to the </w:t>
      </w:r>
      <w:r>
        <w:rPr>
          <w:rFonts w:ascii="Consolas" w:cs="Consolas" w:eastAsia="Consolas" w:hAnsi="Consolas"/>
          <w:sz w:val="20"/>
          <w:szCs w:val="20"/>
          <w:shd w:fill="EEF0F2" w:val="clear"/>
        </w:rPr>
        <w:t xml:space="preserve">test</w:t>
      </w:r>
      <w:r>
        <w:t xml:space="preserve"> branch and deploy to the test environment for QA and regression testing.</w:t>
      </w:r>
    </w:p>
    <w:p>
      <w:pPr>
        <w:pStyle w:val="ListParagraph"/>
        <w:numPr>
          <w:ilvl w:val="0"/>
          <w:numId w:val="6"/>
        </w:numPr>
        <w:spacing w:after="20" w:before="0"/>
      </w:pPr>
      <w:r>
        <w:rPr>
          <w:b/>
          <w:bCs/>
        </w:rPr>
        <w:t xml:space="preserve">Pre-production:</w:t>
      </w:r>
      <w:r>
        <w:t xml:space="preserve"> Changes promote to the </w:t>
      </w:r>
      <w:r>
        <w:rPr>
          <w:rFonts w:ascii="Consolas" w:cs="Consolas" w:eastAsia="Consolas" w:hAnsi="Consolas"/>
          <w:sz w:val="20"/>
          <w:szCs w:val="20"/>
          <w:shd w:fill="EEF0F2" w:val="clear"/>
        </w:rPr>
        <w:t xml:space="preserve">preprod</w:t>
      </w:r>
      <w:r>
        <w:t xml:space="preserve"> branch and deploy to preprod (SSO enabled) for pre-production validation.</w:t>
      </w:r>
    </w:p>
    <w:p>
      <w:pPr>
        <w:pStyle w:val="ListParagraph"/>
        <w:numPr>
          <w:ilvl w:val="0"/>
          <w:numId w:val="6"/>
        </w:numPr>
        <w:spacing w:after="20" w:before="0"/>
      </w:pPr>
      <w:r>
        <w:rPr>
          <w:b/>
          <w:bCs/>
        </w:rPr>
        <w:t xml:space="preserve">Production:</w:t>
      </w:r>
      <w:r>
        <w:t xml:space="preserve"> Changes promote to the </w:t>
      </w:r>
      <w:r>
        <w:rPr>
          <w:rFonts w:ascii="Consolas" w:cs="Consolas" w:eastAsia="Consolas" w:hAnsi="Consolas"/>
          <w:sz w:val="20"/>
          <w:szCs w:val="20"/>
          <w:shd w:fill="EEF0F2" w:val="clear"/>
        </w:rPr>
        <w:t xml:space="preserve">prod</w:t>
      </w:r>
      <w:r>
        <w:t xml:space="preserve"> branch and deploy to the two production application servers during a scheduled window, followed by post-deployment validation and monitoring.</w:t>
      </w:r>
    </w:p>
    <w:p>
      <w:pPr>
        <w:spacing w:after="60"/>
      </w:pPr>
    </w:p>
    <w:p>
      <w:pPr>
        <w:spacing w:after="80" w:before="40"/>
      </w:pPr>
      <w:r>
        <w:t xml:space="preserve">Deployment is performed by PowerShell remoting from the Azure DevOps pipeline: copy the build artifact to the target host, stop the Windows Service, optionally refresh dependencies, and start the Windows Service.</w:t>
      </w:r>
    </w:p>
    <w:p>
      <w:pPr>
        <w:pBdr>
          <w:left w:val="single" w:color="333333" w:sz="18" w:space="8"/>
        </w:pBdr>
        <w:shd w:fill="E4E4E4" w:val="clear"/>
        <w:spacing w:after="80" w:before="80"/>
        <w:ind w:left="240" w:right="120"/>
      </w:pPr>
      <w:r>
        <w:rPr>
          <w:b/>
          <w:bCs/>
        </w:rPr>
        <w:t xml:space="preserve">[CONFIRM]</w:t>
      </w:r>
      <w:r>
        <w:t xml:space="preserve"> Blue-green / zero-downtime cutover in production is a target capability; confirm whether it is in place or planned.</w:t>
      </w:r>
    </w:p>
    <w:p>
      <w:pPr>
        <w:pStyle w:val="Heading3"/>
      </w:pPr>
      <w:r>
        <w:t xml:space="preserve">6.3 CI/CD Pipeline for FMB (Azure DevOps)</w:t>
      </w:r>
    </w:p>
    <w:p>
      <w:pPr>
        <w:spacing w:after="80" w:before="40"/>
      </w:pPr>
      <w:r>
        <w:t xml:space="preserve">The pipeline triggers on the </w:t>
      </w:r>
      <w:r>
        <w:rPr>
          <w:rFonts w:ascii="Consolas" w:cs="Consolas" w:eastAsia="Consolas" w:hAnsi="Consolas"/>
          <w:sz w:val="20"/>
          <w:szCs w:val="20"/>
          <w:shd w:fill="EEF0F2" w:val="clear"/>
        </w:rPr>
        <w:t xml:space="preserve">develop</w:t>
      </w:r>
      <w:r>
        <w:t xml:space="preserve">, </w:t>
      </w:r>
      <w:r>
        <w:rPr>
          <w:rFonts w:ascii="Consolas" w:cs="Consolas" w:eastAsia="Consolas" w:hAnsi="Consolas"/>
          <w:sz w:val="20"/>
          <w:szCs w:val="20"/>
          <w:shd w:fill="EEF0F2" w:val="clear"/>
        </w:rPr>
        <w:t xml:space="preserve">test</w:t>
      </w:r>
      <w:r>
        <w:t xml:space="preserve">, </w:t>
      </w:r>
      <w:r>
        <w:rPr>
          <w:rFonts w:ascii="Consolas" w:cs="Consolas" w:eastAsia="Consolas" w:hAnsi="Consolas"/>
          <w:sz w:val="20"/>
          <w:szCs w:val="20"/>
          <w:shd w:fill="EEF0F2" w:val="clear"/>
        </w:rPr>
        <w:t xml:space="preserve">preprod</w:t>
      </w:r>
      <w:r>
        <w:t xml:space="preserve">, and </w:t>
      </w:r>
      <w:r>
        <w:rPr>
          <w:rFonts w:ascii="Consolas" w:cs="Consolas" w:eastAsia="Consolas" w:hAnsi="Consolas"/>
          <w:sz w:val="20"/>
          <w:szCs w:val="20"/>
          <w:shd w:fill="EEF0F2" w:val="clear"/>
        </w:rPr>
        <w:t xml:space="preserve">prod</w:t>
      </w:r>
      <w:r>
        <w:t xml:space="preserve"> branches. Pushing to GitHub </w:t>
      </w:r>
      <w:r>
        <w:rPr>
          <w:rFonts w:ascii="Consolas" w:cs="Consolas" w:eastAsia="Consolas" w:hAnsi="Consolas"/>
          <w:sz w:val="20"/>
          <w:szCs w:val="20"/>
          <w:shd w:fill="EEF0F2" w:val="clear"/>
        </w:rPr>
        <w:t xml:space="preserve">main</w:t>
      </w:r>
      <w:r>
        <w:t xml:space="preserve"> does not deploy to any environment.</w:t>
      </w:r>
    </w:p>
    <w:p>
      <w:pPr>
        <w:spacing w:after="80" w:before="40"/>
        <w:jc w:val="center"/>
      </w:pPr>
      <w:r>
        <w:drawing>
          <wp:inline distT="0" distB="0" distL="0" distR="0">
            <wp:extent cx="6286500" cy="6419850"/>
            <wp:effectExtent t="0" r="0" b="0" l="0"/>
            <wp:docPr id="1" name="img-images-arch-cicd-png" descr="ClientIQ CI/CD pipeline. The build stage (Azure DevOps, on-prem agents) runs npm install, lint, TypeScript type-check, unit tests, and build, with SonarQube SAST on develop. It then promotes through Deploy Dev (branch develop), Deploy Test (branch test, with OWASP ZAP DAST), Deploy PreProd (branch preprod), and Deploy Prod (branch prod, two app servers, Windows Service restart)." title="ClientIQ CI/CD pipeline. The build stage (Azure DevOps, on-prem agents) runs npm install, lint, TypeScript type-check, unit tests, and build, with SonarQube SAST on develop. It then promotes through Deploy Dev (branch develop), Deploy Test (branch test, with OWASP ZAP DAST), Deploy PreProd (branch preprod), and Deploy Prod (branch prod, two app servers, Windows Service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6419850"/>
                    </a:xfrm>
                    <a:prstGeom prst="rect">
                      <a:avLst/>
                    </a:prstGeom>
                  </pic:spPr>
                </pic:pic>
              </a:graphicData>
            </a:graphic>
          </wp:inline>
        </w:drawing>
      </w:r>
    </w:p>
    <w:p>
      <w:pPr>
        <w:spacing w:after="80" w:before="40"/>
      </w:pPr>
      <w:r>
        <w:rPr>
          <w:b/>
          <w:bCs/>
        </w:rPr>
        <w:t xml:space="preserve">Quality Gates:</w:t>
      </w:r>
      <w:r>
        <w:t xml:space="preserve"> all tests passing (unit, integration), no critical security findings, successful TypeScript compilation, SonarQube SAST on </w:t>
      </w:r>
      <w:r>
        <w:rPr>
          <w:rFonts w:ascii="Consolas" w:cs="Consolas" w:eastAsia="Consolas" w:hAnsi="Consolas"/>
          <w:sz w:val="20"/>
          <w:szCs w:val="20"/>
          <w:shd w:fill="EEF0F2" w:val="clear"/>
        </w:rPr>
        <w:t xml:space="preserve">develop</w:t>
      </w:r>
      <w:r>
        <w:t xml:space="preserve">, and OWASP ZAP DAST after the Test deploy.</w:t>
      </w:r>
    </w:p>
    <w:p>
      <w:pPr>
        <w:pBdr>
          <w:bottom w:val="single" w:color="333333" w:sz="6" w:space="1"/>
        </w:pBdr>
        <w:spacing w:after="80" w:before="80"/>
      </w:pPr>
    </w:p>
    <w:p>
      <w:pPr>
        <w:pStyle w:val="Heading2"/>
      </w:pPr>
      <w:r>
        <w:t xml:space="preserve">7. Cross-Cutting Technical Capabilities</w:t>
      </w:r>
    </w:p>
    <w:p>
      <w:pPr>
        <w:pStyle w:val="Heading3"/>
      </w:pPr>
      <w:r>
        <w:t xml:space="preserve">7.1 Security Architecture for FMB</w:t>
      </w:r>
    </w:p>
    <w:p>
      <w:pPr>
        <w:spacing w:after="80" w:before="40"/>
      </w:pPr>
      <w:r>
        <w:rPr>
          <w:b/>
          <w:bCs/>
        </w:rPr>
        <w:t xml:space="preserve">Authentication Flow (RSA SAML 2.0 SSO):</w:t>
      </w:r>
      <w:r>
        <w:t xml:space="preserve"> SAML SSO is enabled in preprod and production. The flow: a browser launches ClientIQ from the RSA portal; the IdP posts a SAML Response to </w:t>
      </w:r>
      <w:r>
        <w:rPr>
          <w:rFonts w:ascii="Consolas" w:cs="Consolas" w:eastAsia="Consolas" w:hAnsi="Consolas"/>
          <w:sz w:val="20"/>
          <w:szCs w:val="20"/>
          <w:shd w:fill="EEF0F2" w:val="clear"/>
        </w:rPr>
        <w:t xml:space="preserve">/saml/acs</w:t>
      </w:r>
      <w:r>
        <w:t xml:space="preserve"> through IIS to the Node application on port 5000; the application validates the assertion, regenerates the session, upserts the employee, maps AD groups to application roles, synchronizes roles, and issues a secure session cookie.</w:t>
      </w:r>
    </w:p>
    <w:p>
      <w:pPr>
        <w:spacing w:after="80" w:before="40"/>
        <w:jc w:val="center"/>
      </w:pPr>
      <w:r>
        <w:drawing>
          <wp:inline distT="0" distB="0" distL="0" distR="0">
            <wp:extent cx="6286500" cy="4495800"/>
            <wp:effectExtent t="0" r="0" b="0" l="0"/>
            <wp:docPr id="1" name="img-images-arch-saml-sequence-png" descr="ClientIQ SAML 2.0 SSO sequence. The browser launches ClientIQ from the RSA SecurID portal; RSA returns a SAML Response (HTTP-POST); the browser posts to /saml/acs, which IIS forwards to the Node app on port 5000; the app validates the assertion (signature, clock skew), regenerates the session, upserts the employee in SQL Server, maps AD groups to role names, performs enforced role sync, loads permissions and ensures the Branch Manager fallback, then redirects the browser to the home page with a clientiq.sid session cookie." title="ClientIQ SAML 2.0 SSO sequence. The browser launches ClientIQ from the RSA SecurID portal; RSA returns a SAML Response (HTTP-POST); the browser posts to /saml/acs, which IIS forwards to the Node app on port 5000; the app validates the assertion (signature, clock skew), regenerates the session, upserts the employee in SQL Server, maps AD groups to role names, performs enforced role sync, loads permissions and ensures the Branch Manager fallback, then redirects the browser to the home page with a clientiq.sid session 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4495800"/>
                    </a:xfrm>
                    <a:prstGeom prst="rect">
                      <a:avLst/>
                    </a:prstGeom>
                  </pic:spPr>
                </pic:pic>
              </a:graphicData>
            </a:graphic>
          </wp:inline>
        </w:drawing>
      </w:r>
    </w:p>
    <w:p>
      <w:pPr>
        <w:spacing w:after="80" w:before="40"/>
      </w:pPr>
      <w:r>
        <w:rPr>
          <w:b/>
          <w:bCs/>
        </w:rPr>
        <w:t xml:space="preserve">Authorization (RBAC + ABAC):</w:t>
      </w:r>
      <w:r>
        <w:t xml:space="preserve"> The authentication middleware validates the session against the SQL Server session table. The authorization middleware calls </w:t>
      </w:r>
      <w:r>
        <w:rPr>
          <w:rFonts w:ascii="Consolas" w:cs="Consolas" w:eastAsia="Consolas" w:hAnsi="Consolas"/>
          <w:sz w:val="20"/>
          <w:szCs w:val="20"/>
          <w:shd w:fill="EEF0F2" w:val="clear"/>
        </w:rPr>
        <w:t xml:space="preserve">permissionService.checkPermission(employeeId, permissionCode)</w:t>
      </w:r>
      <w:r>
        <w:t xml:space="preserve">, evaluating RBAC (does the user's role grant the permission) and ABAC (do attributes match, for example a branch restriction). Denials are logged to the audit tables and return HTTP 403; grants proceed and the action is logged.</w:t>
      </w:r>
    </w:p>
    <w:p>
      <w:pPr>
        <w:spacing w:after="80" w:before="40"/>
      </w:pPr>
      <w:r>
        <w:rPr>
          <w:b/>
          <w:bCs/>
        </w:rPr>
        <w:t xml:space="preserve">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Data State</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Mechanism</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Implementation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At Rest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TDE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 files encrypted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 Transit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TLS 1.3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IIS reverse proxy, all HTTPS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 Use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PII masking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Tax id rendered </w:t>
            </w:r>
            <w:r>
              <w:rPr>
                <w:rFonts w:ascii="Consolas" w:cs="Consolas" w:eastAsia="Consolas" w:hAnsi="Consolas"/>
                <w:sz w:val="20"/>
                <w:szCs w:val="20"/>
                <w:shd w:fill="EEF0F2" w:val="clear"/>
              </w:rPr>
              <w:t xml:space="preserve">XXX-XX-1234</w:t>
            </w:r>
            <w:r>
              <w:t xml:space="preserve">; account numbers never logged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 Logs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PII redaction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Logger redacts tax id and passwords</w:t>
            </w:r>
          </w:p>
        </w:tc>
      </w:tr>
    </w:tbl>
    <w:p>
      <w:pPr>
        <w:spacing w:after="80"/>
      </w:pPr>
    </w:p>
    <w:p>
      <w:pPr>
        <w:spacing w:after="80" w:before="40"/>
      </w:pPr>
      <w:r>
        <w:rPr>
          <w:b/>
          <w:bCs/>
        </w:rPr>
        <w:t xml:space="preserve">Audit Logging:</w:t>
      </w:r>
      <w:r>
        <w:t xml:space="preserve"> User actions and security events are written to the SQL Server audit tables. The unified stream is </w:t>
      </w:r>
      <w:r>
        <w:rPr>
          <w:rFonts w:ascii="Consolas" w:cs="Consolas" w:eastAsia="Consolas" w:hAnsi="Consolas"/>
          <w:sz w:val="20"/>
          <w:szCs w:val="20"/>
          <w:shd w:fill="EEF0F2" w:val="clear"/>
        </w:rPr>
        <w:t xml:space="preserve">audit_event</w:t>
      </w:r>
      <w:r>
        <w:t xml:space="preserve">, complemented by </w:t>
      </w:r>
      <w:r>
        <w:rPr>
          <w:rFonts w:ascii="Consolas" w:cs="Consolas" w:eastAsia="Consolas" w:hAnsi="Consolas"/>
          <w:sz w:val="20"/>
          <w:szCs w:val="20"/>
          <w:shd w:fill="EEF0F2" w:val="clear"/>
        </w:rPr>
        <w:t xml:space="preserve">role_audit_log</w:t>
      </w:r>
      <w:r>
        <w:t xml:space="preserve"> and </w:t>
      </w:r>
      <w:r>
        <w:rPr>
          <w:rFonts w:ascii="Consolas" w:cs="Consolas" w:eastAsia="Consolas" w:hAnsi="Consolas"/>
          <w:sz w:val="20"/>
          <w:szCs w:val="20"/>
          <w:shd w:fill="EEF0F2" w:val="clear"/>
        </w:rPr>
        <w:t xml:space="preserve">permission_denial_log</w:t>
      </w:r>
      <w:r>
        <w:t xml:space="preserve">, indexed for lookup by employee and event type.</w:t>
      </w:r>
    </w:p>
    <w:p>
      <w:pPr>
        <w:pStyle w:val="Heading3"/>
      </w:pPr>
      <w:r>
        <w:t xml:space="preserve">7.2 Monitoring and Observability</w:t>
      </w:r>
    </w:p>
    <w:p>
      <w:pPr>
        <w:spacing w:after="80" w:before="40"/>
      </w:pPr>
      <w:r>
        <w:rPr>
          <w:b/>
          <w:bCs/>
        </w:rPr>
        <w:t xml:space="preserve">Application Metrics (production):</w:t>
      </w:r>
    </w:p>
    <w:p>
      <w:pPr>
        <w:pStyle w:val="ListParagraph"/>
        <w:numPr>
          <w:ilvl w:val="0"/>
          <w:numId w:val="2"/>
        </w:numPr>
        <w:spacing w:after="20" w:before="0"/>
      </w:pPr>
      <w:r>
        <w:rPr>
          <w:b/>
          <w:bCs/>
        </w:rPr>
        <w:t xml:space="preserve">Request Metrics:</w:t>
      </w:r>
      <w:r>
        <w:t xml:space="preserve"> HTTP request rate, error rate, latency</w:t>
      </w:r>
    </w:p>
    <w:p>
      <w:pPr>
        <w:pStyle w:val="ListParagraph"/>
        <w:numPr>
          <w:ilvl w:val="0"/>
          <w:numId w:val="2"/>
        </w:numPr>
        <w:spacing w:after="20" w:before="0"/>
      </w:pPr>
      <w:r>
        <w:rPr>
          <w:b/>
          <w:bCs/>
        </w:rPr>
        <w:t xml:space="preserve">Database Metrics:</w:t>
      </w:r>
      <w:r>
        <w:t xml:space="preserve"> query execution time, connection-pool usage, Always On AG status</w:t>
      </w:r>
    </w:p>
    <w:p>
      <w:pPr>
        <w:pStyle w:val="ListParagraph"/>
        <w:numPr>
          <w:ilvl w:val="0"/>
          <w:numId w:val="2"/>
        </w:numPr>
        <w:spacing w:after="20" w:before="0"/>
      </w:pPr>
      <w:r>
        <w:rPr>
          <w:b/>
          <w:bCs/>
        </w:rPr>
        <w:t xml:space="preserve">Session Metrics:</w:t>
      </w:r>
      <w:r>
        <w:t xml:space="preserve"> active sessions, session creation/destruction rate</w:t>
      </w:r>
    </w:p>
    <w:p>
      <w:pPr>
        <w:pStyle w:val="ListParagraph"/>
        <w:numPr>
          <w:ilvl w:val="0"/>
          <w:numId w:val="2"/>
        </w:numPr>
        <w:spacing w:after="20" w:before="0"/>
      </w:pPr>
      <w:r>
        <w:rPr>
          <w:b/>
          <w:bCs/>
        </w:rPr>
        <w:t xml:space="preserve">Security Metrics:</w:t>
      </w:r>
      <w:r>
        <w:t xml:space="preserve"> failed login attempts, permission denials</w:t>
      </w:r>
    </w:p>
    <w:p>
      <w:pPr>
        <w:pStyle w:val="ListParagraph"/>
        <w:numPr>
          <w:ilvl w:val="0"/>
          <w:numId w:val="2"/>
        </w:numPr>
        <w:spacing w:after="20" w:before="0"/>
      </w:pPr>
      <w:r>
        <w:rPr>
          <w:b/>
          <w:bCs/>
        </w:rPr>
        <w:t xml:space="preserve">Business Metrics:</w:t>
      </w:r>
      <w:r>
        <w:t xml:space="preserve"> customer searches, notes created, households viewed</w:t>
      </w:r>
    </w:p>
    <w:p>
      <w:pPr>
        <w:spacing w:after="60"/>
      </w:pPr>
    </w:p>
    <w:p>
      <w:pPr>
        <w:spacing w:after="80" w:before="40"/>
      </w:pPr>
      <w:r>
        <w:rPr>
          <w:b/>
          <w:bCs/>
        </w:rPr>
        <w:t xml:space="preserve">Health Checks:</w:t>
      </w:r>
      <w:r>
        <w:t xml:space="preserve"> The application exposes </w:t>
      </w:r>
      <w:r>
        <w:rPr>
          <w:rFonts w:ascii="Consolas" w:cs="Consolas" w:eastAsia="Consolas" w:hAnsi="Consolas"/>
          <w:sz w:val="20"/>
          <w:szCs w:val="20"/>
          <w:shd w:fill="EEF0F2" w:val="clear"/>
        </w:rPr>
        <w:t xml:space="preserve">GET /api/health</w:t>
      </w:r>
      <w:r>
        <w:t xml:space="preserve">, returning service status; it is used for reverse-proxy and monitoring health probes.</w:t>
      </w:r>
    </w:p>
    <w:p>
      <w:pPr>
        <w:spacing w:after="80" w:before="40"/>
      </w:pPr>
      <w:r>
        <w:rPr>
          <w:b/>
          <w:bCs/>
        </w:rPr>
        <w:t xml:space="preserve">Logging:</w:t>
      </w:r>
    </w:p>
    <w:p>
      <w:pPr>
        <w:pStyle w:val="ListParagraph"/>
        <w:numPr>
          <w:ilvl w:val="0"/>
          <w:numId w:val="2"/>
        </w:numPr>
        <w:spacing w:after="20" w:before="0"/>
      </w:pPr>
      <w:r>
        <w:rPr>
          <w:b/>
          <w:bCs/>
        </w:rPr>
        <w:t xml:space="preserve">Application Logs:</w:t>
      </w:r>
      <w:r>
        <w:t xml:space="preserve"> structured logger output (log level via </w:t>
      </w:r>
      <w:r>
        <w:rPr>
          <w:rFonts w:ascii="Consolas" w:cs="Consolas" w:eastAsia="Consolas" w:hAnsi="Consolas"/>
          <w:sz w:val="20"/>
          <w:szCs w:val="20"/>
          <w:shd w:fill="EEF0F2" w:val="clear"/>
        </w:rPr>
        <w:t xml:space="preserve">LOG_LEVEL</w:t>
      </w:r>
      <w:r>
        <w:t xml:space="preserve">)</w:t>
      </w:r>
    </w:p>
    <w:p>
      <w:pPr>
        <w:pStyle w:val="ListParagraph"/>
        <w:numPr>
          <w:ilvl w:val="0"/>
          <w:numId w:val="2"/>
        </w:numPr>
        <w:spacing w:after="20" w:before="0"/>
      </w:pPr>
      <w:r>
        <w:rPr>
          <w:b/>
          <w:bCs/>
        </w:rPr>
        <w:t xml:space="preserve">Audit Logs:</w:t>
      </w:r>
      <w:r>
        <w:t xml:space="preserve"> SQL Server audit tables for notes and role management</w:t>
      </w:r>
    </w:p>
    <w:p>
      <w:pPr>
        <w:pStyle w:val="ListParagraph"/>
        <w:numPr>
          <w:ilvl w:val="0"/>
          <w:numId w:val="2"/>
        </w:numPr>
        <w:spacing w:after="20" w:before="0"/>
      </w:pPr>
      <w:r>
        <w:rPr>
          <w:b/>
          <w:bCs/>
        </w:rPr>
        <w:t xml:space="preserve">System Logs:</w:t>
      </w:r>
      <w:r>
        <w:t xml:space="preserve"> Windows Event Log integration</w:t>
      </w:r>
    </w:p>
    <w:p>
      <w:pPr>
        <w:spacing w:after="60"/>
      </w:pPr>
    </w:p>
    <w:p>
      <w:pPr>
        <w:pBdr>
          <w:left w:val="single" w:color="333333" w:sz="18" w:space="8"/>
        </w:pBdr>
        <w:shd w:fill="E4E4E4" w:val="clear"/>
        <w:spacing w:after="80" w:before="80"/>
        <w:ind w:left="240" w:right="120"/>
      </w:pPr>
      <w:r>
        <w:rPr>
          <w:b/>
          <w:bCs/>
        </w:rPr>
        <w:t xml:space="preserve">[CONFIRM]</w:t>
      </w:r>
      <w:r>
        <w:t xml:space="preserve"> The monitoring/alerting stack, health-probe expectations, and SLA targets for production.</w:t>
      </w:r>
    </w:p>
    <w:p>
      <w:pPr>
        <w:pStyle w:val="Heading3"/>
      </w:pPr>
      <w:r>
        <w:t xml:space="preserve">7.3 Backup and Data Protection</w:t>
      </w:r>
    </w:p>
    <w:p>
      <w:pPr>
        <w:spacing w:after="80" w:before="40"/>
      </w:pPr>
      <w:r>
        <w:rPr>
          <w:b/>
          <w:bCs/>
        </w:rPr>
        <w:t xml:space="preserve">Backup Strategy:</w:t>
      </w:r>
    </w:p>
    <w:p>
      <w:pPr>
        <w:pStyle w:val="ListParagraph"/>
        <w:numPr>
          <w:ilvl w:val="0"/>
          <w:numId w:val="2"/>
        </w:numPr>
        <w:spacing w:after="20" w:before="0"/>
      </w:pPr>
      <w:r>
        <w:rPr>
          <w:b/>
          <w:bCs/>
        </w:rPr>
        <w:t xml:space="preserve">SQL Server Backups:</w:t>
      </w:r>
      <w:r>
        <w:t xml:space="preserve"> regular full, differential, and transaction-log backups</w:t>
      </w:r>
    </w:p>
    <w:p>
      <w:pPr>
        <w:pStyle w:val="ListParagraph"/>
        <w:numPr>
          <w:ilvl w:val="0"/>
          <w:numId w:val="2"/>
        </w:numPr>
        <w:spacing w:after="20" w:before="0"/>
      </w:pPr>
      <w:r>
        <w:rPr>
          <w:b/>
          <w:bCs/>
        </w:rPr>
        <w:t xml:space="preserve">Retention:</w:t>
      </w:r>
      <w:r>
        <w:t xml:space="preserve"> short-term online, mid-term nearline, long-term archival (compliance)</w:t>
      </w:r>
    </w:p>
    <w:p>
      <w:pPr>
        <w:pStyle w:val="ListParagraph"/>
        <w:numPr>
          <w:ilvl w:val="0"/>
          <w:numId w:val="2"/>
        </w:numPr>
        <w:spacing w:after="20" w:before="0"/>
      </w:pPr>
      <w:r>
        <w:rPr>
          <w:b/>
          <w:bCs/>
        </w:rPr>
        <w:t xml:space="preserve">Backup Validation:</w:t>
      </w:r>
      <w:r>
        <w:t xml:space="preserve"> periodic restore test to a lower environment</w:t>
      </w:r>
    </w:p>
    <w:p>
      <w:pPr>
        <w:spacing w:after="60"/>
      </w:pPr>
    </w:p>
    <w:p>
      <w:pPr>
        <w:spacing w:after="80" w:before="40"/>
      </w:pPr>
      <w:r>
        <w:rPr>
          <w:b/>
          <w:bCs/>
        </w:rPr>
        <w:t xml:space="preserve">SQL Server Always On Availability Groups (production):</w:t>
      </w:r>
    </w:p>
    <w:p>
      <w:pPr>
        <w:pStyle w:val="ListParagraph"/>
        <w:numPr>
          <w:ilvl w:val="0"/>
          <w:numId w:val="2"/>
        </w:numPr>
        <w:spacing w:after="20" w:before="0"/>
      </w:pPr>
      <w:r>
        <w:rPr>
          <w:b/>
          <w:bCs/>
        </w:rPr>
        <w:t xml:space="preserve">Primary Node:</w:t>
      </w:r>
      <w:r>
        <w:t xml:space="preserve"> read/write operations</w:t>
      </w:r>
    </w:p>
    <w:p>
      <w:pPr>
        <w:pStyle w:val="ListParagraph"/>
        <w:numPr>
          <w:ilvl w:val="0"/>
          <w:numId w:val="2"/>
        </w:numPr>
        <w:spacing w:after="20" w:before="0"/>
      </w:pPr>
      <w:r>
        <w:rPr>
          <w:b/>
          <w:bCs/>
        </w:rPr>
        <w:t xml:space="preserve">Secondary Node:</w:t>
      </w:r>
      <w:r>
        <w:t xml:space="preserve"> replication, read-only queries</w:t>
      </w:r>
    </w:p>
    <w:p>
      <w:pPr>
        <w:pStyle w:val="ListParagraph"/>
        <w:numPr>
          <w:ilvl w:val="0"/>
          <w:numId w:val="2"/>
        </w:numPr>
        <w:spacing w:after="20" w:before="0"/>
      </w:pPr>
      <w:r>
        <w:rPr>
          <w:b/>
          <w:bCs/>
        </w:rPr>
        <w:t xml:space="preserve">Automatic Failover:</w:t>
      </w:r>
      <w:r>
        <w:t xml:space="preserve"> health-detection-driven failover</w:t>
      </w:r>
    </w:p>
    <w:p>
      <w:pPr>
        <w:spacing w:after="60"/>
      </w:pPr>
    </w:p>
    <w:p>
      <w:pPr>
        <w:pBdr>
          <w:left w:val="single" w:color="333333" w:sz="18" w:space="8"/>
        </w:pBdr>
        <w:shd w:fill="E4E4E4" w:val="clear"/>
        <w:spacing w:after="80" w:before="80"/>
        <w:ind w:left="240" w:right="120"/>
      </w:pPr>
      <w:r>
        <w:rPr>
          <w:b/>
          <w:bCs/>
        </w:rPr>
        <w:t xml:space="preserve">[CONFIRM]</w:t>
      </w:r>
      <w:r>
        <w:t xml:space="preserve"> Backup cadence and retention tiers, Always On replication mode (synchronous/asynchronous), and RPO/RTO targets with the FMB DBA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ClientIQ / Banking Client 360  —  </w:t>
    </w: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ClientIQ: 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333333"/>
      <w:sz w:val="27"/>
      <w:szCs w:val="27"/>
    </w:rPr>
  </w:style>
  <w:style w:type="paragraph" w:styleId="Heading3">
    <w:name w:val="Heading 3"/>
    <w:basedOn w:val="Normal"/>
    <w:next w:val="Normal"/>
    <w:qFormat/>
    <w:pPr>
      <w:spacing w:after="80" w:before="160"/>
      <w:outlineLvl w:val="2"/>
    </w:pPr>
    <w:rPr>
      <w:rFonts w:ascii="Arial" w:cs="Arial" w:eastAsia="Arial" w:hAnsi="Arial"/>
      <w:b/>
      <w:bCs/>
      <w:color w:val="2B2B2B"/>
      <w:sz w:val="23"/>
      <w:szCs w:val="23"/>
    </w:rPr>
  </w:style>
  <w:style w:type="paragraph" w:styleId="Heading4">
    <w:name w:val="Heading 4"/>
    <w:basedOn w:val="Normal"/>
    <w:next w:val="Normal"/>
    <w:qFormat/>
    <w:pPr>
      <w:spacing w:after="60" w:before="120"/>
      <w:outlineLvl w:val="3"/>
    </w:pPr>
    <w:rPr>
      <w:rFonts w:ascii="Arial" w:cs="Arial" w:eastAsia="Arial" w:hAnsi="Arial"/>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3f39d664f1969885b46a4493626e391e918736.png"/><Relationship Id="rId10" Type="http://schemas.openxmlformats.org/officeDocument/2006/relationships/image" Target="media/2ef6afacec729c3c5cccf23dc8844f9534798ecd.png"/><Relationship Id="rId11" Type="http://schemas.openxmlformats.org/officeDocument/2006/relationships/image" Target="media/3908a1f9d4f847bae241c0f0a7f8b5a5aa4bfb38.png"/><Relationship Id="rId12" Type="http://schemas.openxmlformats.org/officeDocument/2006/relationships/image" Target="media/0707334198b69e24d3e03cd67795114a8ad51db7.png"/><Relationship Id="rId13" Type="http://schemas.openxmlformats.org/officeDocument/2006/relationships/image" Target="media/1e96747df36bfd6aa26de2b542bf23e3b443ad22.png"/><Relationship Id="rId14" Type="http://schemas.openxmlformats.org/officeDocument/2006/relationships/image" Target="media/6b21dc5b1f2634ee539e8e21f1b5b94422625a22.png"/><Relationship Id="rId15" Type="http://schemas.openxmlformats.org/officeDocument/2006/relationships/image" Target="media/b96fe632f33595cb0e47c8505b26dfab2d3f9fd7.png"/><Relationship Id="rId16" Type="http://schemas.openxmlformats.org/officeDocument/2006/relationships/image" Target="media/6674371c3d647a6998bac90ae321a201513e902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ClientIQ: System Architecture Document</dc:title>
  <dc:creator>ClientIQ Docs</dc:creator>
  <cp:lastModifiedBy>Un-named</cp:lastModifiedBy>
  <cp:revision>1</cp:revision>
  <dcterms:created xsi:type="dcterms:W3CDTF">2026-07-03T15:39:43.489Z</dcterms:created>
  <dcterms:modified xsi:type="dcterms:W3CDTF">2026-07-03T15:39:43.489Z</dcterms:modified>
</cp:coreProperties>
</file>

<file path=docProps/custom.xml><?xml version="1.0" encoding="utf-8"?>
<Properties xmlns="http://schemas.openxmlformats.org/officeDocument/2006/custom-properties" xmlns:vt="http://schemas.openxmlformats.org/officeDocument/2006/docPropsVTypes"/>
</file>