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671742">
      <w:pPr>
        <w:pBdr>
          <w:top w:val="none" w:color="auto" w:sz="0" w:space="1"/>
          <w:left w:val="none" w:color="auto" w:sz="0" w:space="4"/>
          <w:bottom w:val="single" w:color="auto" w:sz="4" w:space="1"/>
          <w:right w:val="none" w:color="auto" w:sz="0" w:space="4"/>
          <w:between w:val="none" w:color="auto" w:sz="0" w:space="0"/>
        </w:pBdr>
        <w:spacing w:before="40" w:after="60"/>
        <w:jc w:val="center"/>
        <w:rPr>
          <w:rFonts w:hint="eastAsia" w:ascii="Microsoft YaHei" w:hAnsi="Microsoft YaHei" w:eastAsia="Microsoft YaHei" w:cs="Microsoft YaHei"/>
          <w:b/>
          <w:bCs/>
          <w:sz w:val="32"/>
          <w:szCs w:val="32"/>
        </w:rPr>
      </w:pPr>
      <w:r>
        <w:rPr>
          <w:rFonts w:hint="eastAsia" w:ascii="Microsoft YaHei" w:hAnsi="Microsoft YaHei" w:eastAsia="Microsoft YaHei" w:cs="Microsoft YaHei"/>
          <w:b/>
          <w:bCs/>
          <w:sz w:val="32"/>
          <w:szCs w:val="32"/>
        </w:rPr>
        <w:br w:type="textWrapping"/>
      </w:r>
      <w:r>
        <w:rPr>
          <w:rFonts w:hint="eastAsia" w:ascii="Microsoft YaHei" w:hAnsi="Microsoft YaHei" w:eastAsia="Microsoft YaHei" w:cs="Microsoft YaHei"/>
          <w:b/>
          <w:bCs/>
          <w:sz w:val="32"/>
          <w:szCs w:val="32"/>
        </w:rPr>
        <w:t xml:space="preserve">Structure-Based Identification of Phytochemical Inhibitors Targeting PfPGM1 in </w:t>
      </w:r>
      <w:r>
        <w:rPr>
          <w:rStyle w:val="7"/>
          <w:rFonts w:hint="eastAsia" w:ascii="Microsoft YaHei" w:hAnsi="Microsoft YaHei" w:eastAsia="Microsoft YaHei" w:cs="Microsoft YaHei"/>
          <w:b/>
          <w:bCs/>
          <w:sz w:val="32"/>
          <w:szCs w:val="32"/>
        </w:rPr>
        <w:t>Plasmodium falciparum</w:t>
      </w:r>
      <w:r>
        <w:rPr>
          <w:rFonts w:hint="eastAsia" w:ascii="Microsoft YaHei" w:hAnsi="Microsoft YaHei" w:eastAsia="Microsoft YaHei" w:cs="Microsoft YaHei"/>
          <w:b/>
          <w:bCs/>
          <w:sz w:val="32"/>
          <w:szCs w:val="32"/>
        </w:rPr>
        <w:t xml:space="preserve"> Using Molecular Docking and Molecular Dynamics Simulation</w:t>
      </w:r>
    </w:p>
    <w:p w14:paraId="1B03F167">
      <w:pPr>
        <w:spacing w:after="0" w:line="360" w:lineRule="auto"/>
        <w:jc w:val="center"/>
        <w:rPr>
          <w:rFonts w:hint="eastAsia" w:ascii="Microsoft YaHei" w:hAnsi="Microsoft YaHei" w:eastAsia="Microsoft YaHei" w:cs="Microsoft YaHei"/>
          <w:b/>
          <w:bCs/>
          <w:kern w:val="22"/>
          <w:sz w:val="32"/>
          <w:szCs w:val="32"/>
          <w:lang w:val="en-GB" w:eastAsia="en-GB"/>
        </w:rPr>
      </w:pPr>
    </w:p>
    <w:p w14:paraId="54E0B18A">
      <w:pPr>
        <w:spacing w:after="0" w:line="360" w:lineRule="auto"/>
        <w:jc w:val="both"/>
        <w:rPr>
          <w:rFonts w:ascii="Times New Roman" w:hAnsi="Times New Roman" w:eastAsia="Times New Roman" w:cs="Times New Roman"/>
          <w:kern w:val="22"/>
          <w:lang w:val="en-GB" w:eastAsia="en-GB"/>
        </w:rPr>
      </w:pPr>
    </w:p>
    <w:p w14:paraId="7916F33E">
      <w:pPr>
        <w:spacing w:after="0" w:line="360" w:lineRule="auto"/>
        <w:jc w:val="center"/>
        <w:rPr>
          <w:rFonts w:ascii="Times New Roman" w:hAnsi="Times New Roman" w:eastAsia="Times New Roman" w:cs="Times New Roman"/>
          <w:kern w:val="22"/>
          <w:sz w:val="24"/>
          <w:szCs w:val="24"/>
          <w:lang w:val="en-GB" w:eastAsia="en-GB"/>
        </w:rPr>
      </w:pPr>
      <w:r>
        <w:rPr>
          <w:rFonts w:hint="default" w:ascii="Times New Roman" w:hAnsi="Times New Roman" w:eastAsia="Times New Roman" w:cs="Times New Roman"/>
          <w:kern w:val="22"/>
          <w:sz w:val="24"/>
          <w:szCs w:val="24"/>
          <w:lang w:val="en-US" w:eastAsia="en-GB"/>
        </w:rPr>
        <w:t>VIII Semester P</w:t>
      </w:r>
      <w:r>
        <w:rPr>
          <w:rFonts w:ascii="Times New Roman" w:hAnsi="Times New Roman" w:eastAsia="Times New Roman" w:cs="Times New Roman"/>
          <w:kern w:val="22"/>
          <w:sz w:val="24"/>
          <w:szCs w:val="24"/>
          <w:lang w:eastAsia="en-GB"/>
        </w:rPr>
        <w:t xml:space="preserve">roject </w:t>
      </w:r>
      <w:r>
        <w:rPr>
          <w:rFonts w:hint="default" w:ascii="Times New Roman" w:hAnsi="Times New Roman" w:eastAsia="Times New Roman" w:cs="Times New Roman"/>
          <w:kern w:val="22"/>
          <w:sz w:val="24"/>
          <w:szCs w:val="24"/>
          <w:lang w:val="en-US" w:eastAsia="en-GB"/>
        </w:rPr>
        <w:t>R</w:t>
      </w:r>
      <w:r>
        <w:rPr>
          <w:rFonts w:ascii="Times New Roman" w:hAnsi="Times New Roman" w:eastAsia="Times New Roman" w:cs="Times New Roman"/>
          <w:kern w:val="22"/>
          <w:sz w:val="24"/>
          <w:szCs w:val="24"/>
          <w:lang w:eastAsia="en-GB"/>
        </w:rPr>
        <w:t>eport</w:t>
      </w:r>
      <w:r>
        <w:rPr>
          <w:rFonts w:ascii="Times New Roman" w:hAnsi="Times New Roman" w:eastAsia="Times New Roman" w:cs="Times New Roman"/>
          <w:kern w:val="22"/>
          <w:sz w:val="24"/>
          <w:szCs w:val="24"/>
          <w:lang w:val="en-GB" w:eastAsia="en-GB"/>
        </w:rPr>
        <w:t xml:space="preserve"> </w:t>
      </w:r>
      <w:r>
        <w:rPr>
          <w:rFonts w:hint="default" w:ascii="Times New Roman" w:hAnsi="Times New Roman" w:eastAsia="Times New Roman" w:cs="Times New Roman"/>
          <w:kern w:val="22"/>
          <w:sz w:val="24"/>
          <w:szCs w:val="24"/>
          <w:lang w:val="en-US" w:eastAsia="en-GB"/>
        </w:rPr>
        <w:t>S</w:t>
      </w:r>
      <w:r>
        <w:rPr>
          <w:rFonts w:ascii="Times New Roman" w:hAnsi="Times New Roman" w:eastAsia="Times New Roman" w:cs="Times New Roman"/>
          <w:kern w:val="22"/>
          <w:sz w:val="24"/>
          <w:szCs w:val="24"/>
          <w:lang w:val="en-GB" w:eastAsia="en-GB"/>
        </w:rPr>
        <w:t xml:space="preserve">ubmitted in </w:t>
      </w:r>
      <w:r>
        <w:rPr>
          <w:rFonts w:hint="default" w:ascii="Times New Roman" w:hAnsi="Times New Roman" w:eastAsia="Times New Roman" w:cs="Times New Roman"/>
          <w:kern w:val="22"/>
          <w:sz w:val="24"/>
          <w:szCs w:val="24"/>
          <w:lang w:val="en-US" w:eastAsia="en-GB"/>
        </w:rPr>
        <w:t>P</w:t>
      </w:r>
      <w:r>
        <w:rPr>
          <w:rFonts w:ascii="Times New Roman" w:hAnsi="Times New Roman" w:eastAsia="Times New Roman" w:cs="Times New Roman"/>
          <w:kern w:val="22"/>
          <w:sz w:val="24"/>
          <w:szCs w:val="24"/>
          <w:lang w:val="en-GB" w:eastAsia="en-GB"/>
        </w:rPr>
        <w:t xml:space="preserve">artial </w:t>
      </w:r>
      <w:r>
        <w:rPr>
          <w:rFonts w:hint="default" w:ascii="Times New Roman" w:hAnsi="Times New Roman" w:eastAsia="Times New Roman" w:cs="Times New Roman"/>
          <w:kern w:val="22"/>
          <w:sz w:val="24"/>
          <w:szCs w:val="24"/>
          <w:lang w:val="en-US" w:eastAsia="en-GB"/>
        </w:rPr>
        <w:t>F</w:t>
      </w:r>
      <w:r>
        <w:rPr>
          <w:rFonts w:ascii="Times New Roman" w:hAnsi="Times New Roman" w:eastAsia="Times New Roman" w:cs="Times New Roman"/>
          <w:kern w:val="22"/>
          <w:sz w:val="24"/>
          <w:szCs w:val="24"/>
          <w:lang w:eastAsia="en-GB"/>
        </w:rPr>
        <w:t>ulfillment</w:t>
      </w:r>
      <w:r>
        <w:rPr>
          <w:rFonts w:ascii="Times New Roman" w:hAnsi="Times New Roman" w:eastAsia="Times New Roman" w:cs="Times New Roman"/>
          <w:kern w:val="22"/>
          <w:sz w:val="24"/>
          <w:szCs w:val="24"/>
          <w:lang w:val="en-GB" w:eastAsia="en-GB"/>
        </w:rPr>
        <w:t xml:space="preserve"> for the </w:t>
      </w:r>
      <w:r>
        <w:rPr>
          <w:rFonts w:hint="default" w:ascii="Times New Roman" w:hAnsi="Times New Roman" w:eastAsia="Times New Roman" w:cs="Times New Roman"/>
          <w:kern w:val="22"/>
          <w:sz w:val="24"/>
          <w:szCs w:val="24"/>
          <w:lang w:val="en-US" w:eastAsia="en-GB"/>
        </w:rPr>
        <w:t>D</w:t>
      </w:r>
      <w:r>
        <w:rPr>
          <w:rFonts w:ascii="Times New Roman" w:hAnsi="Times New Roman" w:eastAsia="Times New Roman" w:cs="Times New Roman"/>
          <w:kern w:val="22"/>
          <w:sz w:val="24"/>
          <w:szCs w:val="24"/>
          <w:lang w:val="en-GB" w:eastAsia="en-GB"/>
        </w:rPr>
        <w:t xml:space="preserve">egree of </w:t>
      </w:r>
    </w:p>
    <w:p w14:paraId="775AB0EC">
      <w:pPr>
        <w:tabs>
          <w:tab w:val="left" w:pos="8280"/>
        </w:tabs>
        <w:spacing w:after="0" w:line="360" w:lineRule="auto"/>
        <w:ind w:firstLine="284"/>
        <w:jc w:val="center"/>
        <w:rPr>
          <w:rFonts w:ascii="Times New Roman" w:hAnsi="Times New Roman" w:eastAsia="Times New Roman" w:cs="Times New Roman"/>
          <w:kern w:val="22"/>
          <w:sz w:val="24"/>
          <w:szCs w:val="24"/>
          <w:lang w:eastAsia="en-GB"/>
        </w:rPr>
      </w:pPr>
      <w:r>
        <w:rPr>
          <w:rFonts w:ascii="Times New Roman" w:hAnsi="Times New Roman" w:eastAsia="Times New Roman" w:cs="Times New Roman"/>
          <w:kern w:val="22"/>
          <w:sz w:val="24"/>
          <w:szCs w:val="24"/>
          <w:lang w:eastAsia="en-GB"/>
        </w:rPr>
        <w:t>B.Tech &amp; M. Tech in Biotechnology</w:t>
      </w:r>
    </w:p>
    <w:p w14:paraId="6101D280">
      <w:pPr>
        <w:spacing w:after="0" w:line="360" w:lineRule="auto"/>
        <w:jc w:val="center"/>
        <w:rPr>
          <w:rFonts w:ascii="Times New Roman" w:hAnsi="Times New Roman" w:eastAsia="Times New Roman" w:cs="Times New Roman"/>
          <w:kern w:val="22"/>
          <w:sz w:val="24"/>
          <w:szCs w:val="24"/>
          <w:lang w:val="en-GB" w:eastAsia="en-GB"/>
        </w:rPr>
      </w:pPr>
    </w:p>
    <w:p w14:paraId="007ACFFA">
      <w:pPr>
        <w:spacing w:after="0" w:line="360" w:lineRule="auto"/>
        <w:jc w:val="center"/>
        <w:rPr>
          <w:rFonts w:ascii="Times New Roman" w:hAnsi="Times New Roman" w:eastAsia="Times New Roman" w:cs="Times New Roman"/>
          <w:kern w:val="22"/>
          <w:sz w:val="28"/>
          <w:szCs w:val="28"/>
          <w:u w:val="single"/>
          <w:lang w:val="en-GB" w:eastAsia="en-GB"/>
        </w:rPr>
      </w:pPr>
      <w:r>
        <w:rPr>
          <w:rFonts w:ascii="Times New Roman" w:hAnsi="Times New Roman" w:eastAsia="Times New Roman" w:cs="Times New Roman"/>
          <w:kern w:val="22"/>
          <w:sz w:val="28"/>
          <w:szCs w:val="28"/>
          <w:u w:val="single"/>
          <w:lang w:val="en-GB" w:eastAsia="en-GB"/>
        </w:rPr>
        <w:t>Submitted By</w:t>
      </w:r>
    </w:p>
    <w:p w14:paraId="5B32689B">
      <w:pPr>
        <w:spacing w:after="0" w:line="360" w:lineRule="auto"/>
        <w:jc w:val="center"/>
        <w:rPr>
          <w:rFonts w:hint="default" w:ascii="Times New Roman" w:hAnsi="Times New Roman" w:eastAsia="Times New Roman" w:cs="Times New Roman"/>
          <w:i/>
          <w:kern w:val="22"/>
          <w:sz w:val="28"/>
          <w:szCs w:val="28"/>
          <w:lang w:val="en-US" w:eastAsia="en-GB"/>
        </w:rPr>
      </w:pPr>
      <w:r>
        <w:rPr>
          <w:rFonts w:hint="default" w:ascii="Times New Roman" w:hAnsi="Times New Roman" w:eastAsia="Times New Roman" w:cs="Times New Roman"/>
          <w:i/>
          <w:kern w:val="22"/>
          <w:sz w:val="28"/>
          <w:szCs w:val="28"/>
          <w:lang w:val="en-US" w:eastAsia="en-GB"/>
        </w:rPr>
        <w:t>Sravani P</w:t>
      </w:r>
    </w:p>
    <w:p w14:paraId="7A2F2363">
      <w:pPr>
        <w:spacing w:after="0" w:line="360" w:lineRule="auto"/>
        <w:jc w:val="center"/>
        <w:rPr>
          <w:rFonts w:ascii="Times New Roman" w:hAnsi="Times New Roman" w:eastAsia="Times New Roman" w:cs="Times New Roman"/>
          <w:i/>
          <w:kern w:val="22"/>
          <w:lang w:val="en-GB" w:eastAsia="en-GB"/>
        </w:rPr>
      </w:pPr>
    </w:p>
    <w:p w14:paraId="0D0D9E07">
      <w:pPr>
        <w:spacing w:after="0" w:line="360" w:lineRule="auto"/>
        <w:jc w:val="center"/>
        <w:rPr>
          <w:rFonts w:ascii="Times New Roman" w:hAnsi="Times New Roman" w:eastAsia="Times New Roman" w:cs="Times New Roman"/>
          <w:kern w:val="22"/>
          <w:lang w:val="en-GB" w:eastAsia="en-GB"/>
        </w:rPr>
      </w:pPr>
      <w:r>
        <w:rPr>
          <w:rFonts w:ascii="Times New Roman" w:hAnsi="Times New Roman" w:eastAsia="Times New Roman" w:cs="Times New Roman"/>
          <w:kern w:val="22"/>
          <w:lang w:val="en-GB" w:eastAsia="en-GB"/>
        </w:rPr>
        <w:t xml:space="preserve">School of Biotechnology </w:t>
      </w:r>
    </w:p>
    <w:p w14:paraId="35507AB5">
      <w:pPr>
        <w:spacing w:after="0" w:line="360" w:lineRule="auto"/>
        <w:jc w:val="center"/>
        <w:rPr>
          <w:rFonts w:ascii="Times New Roman" w:hAnsi="Times New Roman" w:eastAsia="Times New Roman" w:cs="Times New Roman"/>
          <w:kern w:val="22"/>
          <w:lang w:val="en-GB" w:eastAsia="en-GB"/>
        </w:rPr>
      </w:pPr>
      <w:r>
        <w:rPr>
          <w:rFonts w:ascii="Times New Roman" w:hAnsi="Times New Roman" w:eastAsia="Times New Roman" w:cs="Times New Roman"/>
          <w:kern w:val="22"/>
          <w:lang w:val="en-GB" w:eastAsia="en-GB"/>
        </w:rPr>
        <w:t xml:space="preserve">KIIT </w:t>
      </w:r>
      <w:r>
        <w:rPr>
          <w:rFonts w:hint="default" w:ascii="Times New Roman" w:hAnsi="Times New Roman" w:eastAsia="Times New Roman" w:cs="Times New Roman"/>
          <w:kern w:val="22"/>
          <w:lang w:val="en-US" w:eastAsia="en-GB"/>
        </w:rPr>
        <w:t xml:space="preserve">Deemed to be </w:t>
      </w:r>
      <w:r>
        <w:rPr>
          <w:rFonts w:ascii="Times New Roman" w:hAnsi="Times New Roman" w:eastAsia="Times New Roman" w:cs="Times New Roman"/>
          <w:kern w:val="22"/>
          <w:lang w:val="en-GB" w:eastAsia="en-GB"/>
        </w:rPr>
        <w:t>University</w:t>
      </w:r>
    </w:p>
    <w:p w14:paraId="0110C93E">
      <w:pPr>
        <w:spacing w:after="0" w:line="360" w:lineRule="auto"/>
        <w:jc w:val="center"/>
        <w:rPr>
          <w:rFonts w:ascii="Times New Roman" w:hAnsi="Times New Roman" w:eastAsia="Times New Roman" w:cs="Times New Roman"/>
          <w:kern w:val="22"/>
          <w:lang w:val="en-GB" w:eastAsia="en-GB"/>
        </w:rPr>
      </w:pPr>
      <w:r>
        <w:rPr>
          <w:rFonts w:ascii="Times New Roman" w:hAnsi="Times New Roman" w:eastAsia="Times New Roman" w:cs="Times New Roman"/>
          <w:kern w:val="22"/>
          <w:lang w:val="en-GB" w:eastAsia="en-GB"/>
        </w:rPr>
        <w:t>Bhubaneswar, Odisha, India</w:t>
      </w:r>
    </w:p>
    <w:p w14:paraId="4E1DEEEA">
      <w:pPr>
        <w:spacing w:after="0" w:line="360" w:lineRule="auto"/>
        <w:jc w:val="center"/>
        <w:rPr>
          <w:rFonts w:ascii="Times New Roman" w:hAnsi="Times New Roman" w:eastAsia="Times New Roman" w:cs="Times New Roman"/>
          <w:kern w:val="22"/>
          <w:lang w:val="en-GB" w:eastAsia="en-GB"/>
        </w:rPr>
      </w:pPr>
    </w:p>
    <w:p w14:paraId="26BF5D7E">
      <w:pPr>
        <w:spacing w:after="0" w:line="360" w:lineRule="auto"/>
        <w:jc w:val="center"/>
        <w:rPr>
          <w:rFonts w:ascii="Times New Roman" w:hAnsi="Times New Roman" w:eastAsia="Times New Roman" w:cs="Times New Roman"/>
          <w:kern w:val="22"/>
          <w:lang w:val="en-GB" w:eastAsia="en-GB"/>
        </w:rPr>
      </w:pPr>
      <w:r>
        <w:rPr>
          <w:rFonts w:ascii="Times New Roman" w:hAnsi="Times New Roman" w:eastAsia="Times New Roman" w:cs="Times New Roman"/>
          <w:kern w:val="22"/>
          <w:lang w:val="en-GB" w:eastAsia="en-GB"/>
        </w:rPr>
        <w:t xml:space="preserve">Under the Supervision of </w:t>
      </w:r>
    </w:p>
    <w:p w14:paraId="064923D5">
      <w:pPr>
        <w:jc w:val="center"/>
        <w:rPr>
          <w:rFonts w:hint="default" w:ascii="Times New Roman" w:hAnsi="Times New Roman" w:eastAsia="Times New Roman" w:cs="Times New Roman"/>
          <w:i/>
          <w:kern w:val="22"/>
          <w:sz w:val="24"/>
          <w:szCs w:val="24"/>
          <w:lang w:val="en-US" w:eastAsia="en-GB"/>
        </w:rPr>
      </w:pPr>
      <w:r>
        <w:rPr>
          <w:rFonts w:hint="default" w:ascii="Times New Roman" w:hAnsi="Times New Roman" w:eastAsia="Times New Roman" w:cs="Times New Roman"/>
          <w:i/>
          <w:kern w:val="22"/>
          <w:lang w:val="en-US" w:eastAsia="en-GB"/>
        </w:rPr>
        <w:t xml:space="preserve"> </w:t>
      </w:r>
      <w:r>
        <w:rPr>
          <w:rFonts w:hint="default" w:ascii="Times New Roman" w:hAnsi="Times New Roman" w:eastAsia="Times New Roman" w:cs="Times New Roman"/>
          <w:i/>
          <w:kern w:val="22"/>
          <w:sz w:val="24"/>
          <w:szCs w:val="24"/>
          <w:lang w:val="en-US" w:eastAsia="en-GB"/>
        </w:rPr>
        <w:t xml:space="preserve"> Dr. Rajni Kanta Mahapatra</w:t>
      </w:r>
    </w:p>
    <w:p w14:paraId="5FC47B3A">
      <w:pPr>
        <w:rPr>
          <w:rFonts w:ascii="Arial" w:hAnsi="Arial" w:eastAsia="Arial" w:cs="Arial"/>
          <w:b/>
          <w:bCs/>
          <w:color w:val="2E4A7A"/>
          <w:sz w:val="28"/>
          <w:szCs w:val="28"/>
        </w:rPr>
      </w:pPr>
    </w:p>
    <w:p w14:paraId="612A3501">
      <w:pPr>
        <w:rPr>
          <w:rFonts w:ascii="Arial" w:hAnsi="Arial" w:eastAsia="Arial" w:cs="Arial"/>
          <w:b/>
          <w:bCs/>
          <w:color w:val="2E4A7A"/>
          <w:sz w:val="28"/>
          <w:szCs w:val="28"/>
        </w:rPr>
      </w:pPr>
      <w:r>
        <w:rPr>
          <w:rFonts w:ascii="Arial" w:hAnsi="Arial" w:eastAsia="Arial" w:cs="Arial"/>
          <w:b/>
          <w:bCs/>
          <w:color w:val="2E4A7A"/>
          <w:sz w:val="28"/>
          <w:szCs w:val="28"/>
        </w:rPr>
        <w:br w:type="page"/>
      </w:r>
    </w:p>
    <w:p w14:paraId="0954396E">
      <w:pPr>
        <w:jc w:val="center"/>
        <w:rPr>
          <w:sz w:val="28"/>
          <w:szCs w:val="28"/>
        </w:rPr>
      </w:pPr>
      <w:r>
        <w:rPr>
          <w:rFonts w:ascii="Arial" w:hAnsi="Arial" w:eastAsia="Arial" w:cs="Arial"/>
          <w:b/>
          <w:bCs/>
          <w:color w:val="2E4A7A"/>
          <w:sz w:val="28"/>
          <w:szCs w:val="28"/>
        </w:rPr>
        <w:t>Abstract</w:t>
      </w:r>
    </w:p>
    <w:p w14:paraId="41D9BE4E">
      <w:pPr>
        <w:jc w:val="left"/>
        <w:rPr>
          <w:rFonts w:hint="default" w:ascii="Times New Roman" w:hAnsi="Times New Roman" w:eastAsia="Times New Roman" w:cs="Times New Roman"/>
          <w:i/>
          <w:kern w:val="22"/>
          <w:lang w:val="en-US" w:eastAsia="en-GB"/>
        </w:rPr>
      </w:pPr>
    </w:p>
    <w:p w14:paraId="56B9F885">
      <w:pPr>
        <w:jc w:val="left"/>
        <w:rPr>
          <w:rFonts w:hint="default" w:ascii="Times New Roman" w:hAnsi="Times New Roman" w:eastAsia="Times New Roman" w:cs="Times New Roman"/>
          <w:i/>
          <w:kern w:val="22"/>
          <w:lang w:val="en-US" w:eastAsia="en-GB"/>
        </w:rPr>
      </w:pPr>
      <w:r>
        <w:rPr>
          <w:rFonts w:hint="default" w:ascii="Times New Roman" w:hAnsi="Times New Roman" w:eastAsia="Times New Roman" w:cs="Times New Roman"/>
          <w:i/>
          <w:kern w:val="22"/>
          <w:lang w:val="en-US" w:eastAsia="en-GB"/>
        </w:rPr>
        <w:t>Malaria can be treated, prevented and diagnosed but however, there are more than 200million cases of preventable deaths, it being a life-threatening disease mostly found in tropical countries.Plasmodium falciparum being the deadliest malaria parasite (World Health organization,2025). Antimalarial drug resistance being a very challenging problem now a days in treatments. This study investigates Phosphoglycerate Mutase from P.falciparum (PfPGM1), a metabolic enzyme for parasite energy production. The main objective of the study is to identify if it is a potential drug target for phytochemical- based inhibition using structure-based molecular docking and MD simulation.</w:t>
      </w:r>
    </w:p>
    <w:p w14:paraId="3F54E60D">
      <w:pPr>
        <w:jc w:val="left"/>
        <w:rPr>
          <w:rFonts w:hint="default" w:ascii="Times New Roman" w:hAnsi="Times New Roman" w:eastAsia="Times New Roman" w:cs="Times New Roman"/>
          <w:i/>
          <w:kern w:val="22"/>
          <w:lang w:val="en-US" w:eastAsia="en-GB"/>
        </w:rPr>
      </w:pPr>
    </w:p>
    <w:p w14:paraId="67D18F6B">
      <w:pPr>
        <w:jc w:val="left"/>
        <w:rPr>
          <w:rFonts w:hint="default" w:ascii="Times New Roman" w:hAnsi="Times New Roman" w:eastAsia="Times New Roman" w:cs="Times New Roman"/>
          <w:i/>
          <w:kern w:val="22"/>
          <w:lang w:val="en-US" w:eastAsia="en-GB"/>
        </w:rPr>
      </w:pPr>
      <w:r>
        <w:rPr>
          <w:rFonts w:hint="default" w:ascii="Times New Roman" w:hAnsi="Times New Roman" w:eastAsia="Times New Roman" w:cs="Times New Roman"/>
          <w:i/>
          <w:kern w:val="22"/>
          <w:lang w:val="en-US" w:eastAsia="en-GB"/>
        </w:rPr>
        <w:t>Given the absence of experimentally determined active site data for 1XQ9, a computational approach was used to identify the best binding pockets. A BLASTp was conducted for sequence homology analysis which identified 4ODI with 75% sequence identity as a structurally informative reference. By integrating structural visualization tools like PyMOL, UCSF Chimera, and Schrodinger SiteMap, seven residues were identified as residues forming the binding cavity: Arg18, His19, Asn25, Thr31, Tyr100, His192 and Asn194. A library of 58 phytochemicals was screened against PGM1 through AutoDock Vina-based molecular docking. The ten highest- scoring candidates were assessed for pharmacokinetic and drug-likeness profiles using SwissADME, and the lead compound underwent a 10ns Molecular Dynamics (MD) simulation in GROMACS to evaluate binding stability over time.</w:t>
      </w:r>
    </w:p>
    <w:p w14:paraId="32D18EBF">
      <w:pPr>
        <w:jc w:val="left"/>
        <w:rPr>
          <w:rFonts w:hint="default" w:ascii="Times New Roman" w:hAnsi="Times New Roman" w:eastAsia="Times New Roman" w:cs="Times New Roman"/>
          <w:i/>
          <w:kern w:val="22"/>
          <w:lang w:val="en-US" w:eastAsia="en-GB"/>
        </w:rPr>
      </w:pPr>
    </w:p>
    <w:p w14:paraId="402CF131">
      <w:pPr>
        <w:jc w:val="left"/>
        <w:rPr>
          <w:rFonts w:hint="default" w:ascii="Times New Roman" w:hAnsi="Times New Roman" w:eastAsia="Times New Roman" w:cs="Times New Roman"/>
          <w:i/>
          <w:kern w:val="22"/>
          <w:lang w:val="en-US" w:eastAsia="en-GB"/>
        </w:rPr>
      </w:pPr>
      <w:r>
        <w:rPr>
          <w:rFonts w:hint="default" w:ascii="Times New Roman" w:hAnsi="Times New Roman" w:eastAsia="Times New Roman" w:cs="Times New Roman"/>
          <w:i/>
          <w:kern w:val="22"/>
          <w:lang w:val="en-US" w:eastAsia="en-GB"/>
        </w:rPr>
        <w:t xml:space="preserve">Among all screened compounds, AD53 (tectograndone) had the best binding affinity (-10.68 kcal/mol), and also demonstrated superior overall drug-likeness, with high GI absorption, passes all Lipinski criteria, and a good synthetic accessibility score (3.74). The 10 ns MD simulation confirmed that AD53 maintained a stable binding pose within the active site of PfPGM1 throughout the trajectory, with consistent hydrogen bonding, a stable protein backbone RMSD (~0.12-0.15 nm), and a conserved radius of gyration (~1.84 nm), collectively validating AD53 as a promising lead candidate for further experimental investigation. </w:t>
      </w:r>
    </w:p>
    <w:p w14:paraId="53A1F11C">
      <w:pPr>
        <w:jc w:val="left"/>
        <w:rPr>
          <w:rFonts w:hint="default" w:ascii="Times New Roman" w:hAnsi="Times New Roman" w:eastAsia="Times New Roman" w:cs="Times New Roman"/>
          <w:i/>
          <w:kern w:val="22"/>
          <w:lang w:val="en-US" w:eastAsia="en-GB"/>
        </w:rPr>
      </w:pPr>
    </w:p>
    <w:p w14:paraId="702D6236">
      <w:pPr>
        <w:jc w:val="left"/>
        <w:rPr>
          <w:rFonts w:hint="default" w:ascii="Times New Roman" w:hAnsi="Times New Roman" w:eastAsia="Times New Roman" w:cs="Times New Roman"/>
          <w:i/>
          <w:kern w:val="22"/>
          <w:lang w:val="en-US" w:eastAsia="en-GB"/>
        </w:rPr>
      </w:pPr>
    </w:p>
    <w:p w14:paraId="5C588F0A">
      <w:pPr>
        <w:pStyle w:val="10"/>
        <w:keepNext w:val="0"/>
        <w:keepLines w:val="0"/>
        <w:widowControl/>
        <w:suppressLineNumbers w:val="0"/>
        <w:rPr>
          <w:rFonts w:hint="default" w:ascii="Times New Roman" w:hAnsi="Times New Roman" w:eastAsia="Times New Roman" w:cs="Times New Roman"/>
          <w:i/>
          <w:kern w:val="22"/>
          <w:lang w:val="en-US" w:eastAsia="en-GB"/>
        </w:rPr>
      </w:pPr>
      <w:r>
        <w:rPr>
          <w:rStyle w:val="11"/>
        </w:rPr>
        <w:t>Keywords:</w:t>
      </w:r>
      <w:r>
        <w:t xml:space="preserve"> Malaria, </w:t>
      </w:r>
      <w:r>
        <w:rPr>
          <w:rStyle w:val="7"/>
        </w:rPr>
        <w:t>Plasmodium falciparum</w:t>
      </w:r>
      <w:r>
        <w:t>, PfPGM1, molecular docking, AutoDock Vina, SwissADME, phytochemicals, GROMACS, drug discovery</w:t>
      </w:r>
    </w:p>
    <w:p w14:paraId="27AF79F5">
      <w:pPr>
        <w:numPr>
          <w:ilvl w:val="0"/>
          <w:numId w:val="0"/>
        </w:numPr>
        <w:ind w:leftChars="0"/>
        <w:jc w:val="left"/>
        <w:rPr>
          <w:rFonts w:hint="default" w:ascii="Times New Roman" w:hAnsi="Times New Roman" w:eastAsia="Times New Roman" w:cs="Times New Roman"/>
          <w:i/>
          <w:kern w:val="22"/>
          <w:lang w:val="en-US" w:eastAsia="en-GB"/>
        </w:rPr>
      </w:pPr>
    </w:p>
    <w:p w14:paraId="0CEA7175">
      <w:pPr>
        <w:numPr>
          <w:ilvl w:val="0"/>
          <w:numId w:val="0"/>
        </w:numPr>
        <w:ind w:leftChars="0"/>
        <w:jc w:val="left"/>
        <w:rPr>
          <w:rFonts w:hint="default" w:ascii="Times New Roman" w:hAnsi="Times New Roman" w:eastAsia="Times New Roman" w:cs="Times New Roman"/>
          <w:i/>
          <w:kern w:val="22"/>
          <w:lang w:val="en-US" w:eastAsia="en-GB"/>
        </w:rPr>
      </w:pPr>
    </w:p>
    <w:p w14:paraId="47C7A4BA">
      <w:pPr>
        <w:numPr>
          <w:ilvl w:val="0"/>
          <w:numId w:val="0"/>
        </w:numPr>
        <w:ind w:leftChars="0"/>
        <w:jc w:val="left"/>
        <w:rPr>
          <w:rFonts w:hint="default" w:ascii="Times New Roman" w:hAnsi="Times New Roman" w:eastAsia="Times New Roman" w:cs="Times New Roman"/>
          <w:i/>
          <w:kern w:val="22"/>
          <w:lang w:val="en-US" w:eastAsia="en-GB"/>
        </w:rPr>
      </w:pPr>
    </w:p>
    <w:p w14:paraId="51F52E7C">
      <w:pPr>
        <w:numPr>
          <w:ilvl w:val="0"/>
          <w:numId w:val="0"/>
        </w:numPr>
        <w:ind w:leftChars="0"/>
        <w:jc w:val="left"/>
        <w:rPr>
          <w:rFonts w:hint="default" w:ascii="Times New Roman" w:hAnsi="Times New Roman" w:eastAsia="Times New Roman" w:cs="Times New Roman"/>
          <w:i/>
          <w:kern w:val="22"/>
          <w:lang w:val="en-US" w:eastAsia="en-GB"/>
        </w:rPr>
      </w:pPr>
    </w:p>
    <w:p w14:paraId="055BBE72">
      <w:pPr>
        <w:numPr>
          <w:ilvl w:val="0"/>
          <w:numId w:val="0"/>
        </w:numPr>
        <w:ind w:leftChars="0"/>
        <w:jc w:val="left"/>
        <w:rPr>
          <w:rFonts w:hint="default" w:ascii="Times New Roman" w:hAnsi="Times New Roman" w:eastAsia="Times New Roman" w:cs="Times New Roman"/>
          <w:i/>
          <w:kern w:val="22"/>
          <w:lang w:val="en-US" w:eastAsia="en-GB"/>
        </w:rPr>
      </w:pPr>
    </w:p>
    <w:p w14:paraId="3C151FA1">
      <w:pPr>
        <w:numPr>
          <w:ilvl w:val="0"/>
          <w:numId w:val="0"/>
        </w:numPr>
        <w:ind w:leftChars="0"/>
        <w:jc w:val="left"/>
        <w:rPr>
          <w:rFonts w:hint="default" w:ascii="Times New Roman" w:hAnsi="Times New Roman" w:eastAsia="Times New Roman" w:cs="Times New Roman"/>
          <w:i/>
          <w:kern w:val="22"/>
          <w:lang w:val="en-US" w:eastAsia="en-GB"/>
        </w:rPr>
      </w:pPr>
    </w:p>
    <w:p w14:paraId="42DA29C2">
      <w:pPr>
        <w:numPr>
          <w:ilvl w:val="0"/>
          <w:numId w:val="0"/>
        </w:numPr>
        <w:ind w:leftChars="0"/>
        <w:jc w:val="left"/>
        <w:rPr>
          <w:rFonts w:hint="default" w:ascii="Times New Roman" w:hAnsi="Times New Roman" w:eastAsia="Times New Roman" w:cs="Times New Roman"/>
          <w:i/>
          <w:kern w:val="22"/>
          <w:lang w:val="en-US" w:eastAsia="en-GB"/>
        </w:rPr>
      </w:pPr>
    </w:p>
    <w:p w14:paraId="4A87CB46">
      <w:pPr>
        <w:numPr>
          <w:ilvl w:val="0"/>
          <w:numId w:val="0"/>
        </w:numPr>
        <w:ind w:leftChars="0"/>
        <w:jc w:val="left"/>
        <w:rPr>
          <w:rFonts w:hint="default" w:ascii="Times New Roman" w:hAnsi="Times New Roman" w:eastAsia="Times New Roman" w:cs="Times New Roman"/>
          <w:i/>
          <w:kern w:val="22"/>
          <w:lang w:val="en-US" w:eastAsia="en-GB"/>
        </w:rPr>
      </w:pPr>
    </w:p>
    <w:p w14:paraId="22A778AB">
      <w:pPr>
        <w:numPr>
          <w:ilvl w:val="0"/>
          <w:numId w:val="0"/>
        </w:numPr>
        <w:ind w:leftChars="0"/>
        <w:jc w:val="left"/>
        <w:rPr>
          <w:rFonts w:hint="default" w:ascii="Times New Roman" w:hAnsi="Times New Roman" w:eastAsia="Times New Roman" w:cs="Times New Roman"/>
          <w:i/>
          <w:kern w:val="22"/>
          <w:lang w:val="en-US" w:eastAsia="en-GB"/>
        </w:rPr>
      </w:pPr>
    </w:p>
    <w:p w14:paraId="181071F4">
      <w:pPr>
        <w:numPr>
          <w:ilvl w:val="0"/>
          <w:numId w:val="0"/>
        </w:numPr>
        <w:ind w:leftChars="0"/>
        <w:jc w:val="left"/>
        <w:rPr>
          <w:rFonts w:hint="default" w:ascii="Times New Roman" w:hAnsi="Times New Roman" w:eastAsia="Times New Roman" w:cs="Times New Roman"/>
          <w:i/>
          <w:kern w:val="22"/>
          <w:lang w:val="en-US" w:eastAsia="en-GB"/>
        </w:rPr>
      </w:pPr>
    </w:p>
    <w:p w14:paraId="5A1F2EFA">
      <w:pPr>
        <w:numPr>
          <w:ilvl w:val="0"/>
          <w:numId w:val="0"/>
        </w:numPr>
        <w:ind w:leftChars="0"/>
        <w:jc w:val="left"/>
        <w:rPr>
          <w:rFonts w:hint="default" w:ascii="Times New Roman" w:hAnsi="Times New Roman" w:eastAsia="Times New Roman" w:cs="Times New Roman"/>
          <w:i/>
          <w:kern w:val="22"/>
          <w:lang w:val="en-US" w:eastAsia="en-GB"/>
        </w:rPr>
      </w:pPr>
    </w:p>
    <w:p w14:paraId="0DE25624">
      <w:pPr>
        <w:numPr>
          <w:ilvl w:val="0"/>
          <w:numId w:val="0"/>
        </w:numPr>
        <w:ind w:leftChars="0"/>
        <w:jc w:val="left"/>
        <w:rPr>
          <w:rFonts w:hint="default" w:ascii="Times New Roman" w:hAnsi="Times New Roman" w:eastAsia="Times New Roman" w:cs="Times New Roman"/>
          <w:i/>
          <w:kern w:val="22"/>
          <w:lang w:val="en-US" w:eastAsia="en-GB"/>
        </w:rPr>
      </w:pPr>
    </w:p>
    <w:p w14:paraId="7BB0E359">
      <w:pPr>
        <w:numPr>
          <w:ilvl w:val="0"/>
          <w:numId w:val="0"/>
        </w:numPr>
        <w:ind w:leftChars="0"/>
        <w:jc w:val="left"/>
        <w:rPr>
          <w:rFonts w:hint="default" w:ascii="Times New Roman" w:hAnsi="Times New Roman" w:eastAsia="Times New Roman" w:cs="Times New Roman"/>
          <w:i/>
          <w:kern w:val="22"/>
          <w:lang w:val="en-US" w:eastAsia="en-GB"/>
        </w:rPr>
      </w:pPr>
    </w:p>
    <w:p w14:paraId="5BE038F4">
      <w:pPr>
        <w:rPr>
          <w:rFonts w:hint="default" w:ascii="Times New Roman" w:hAnsi="Times New Roman" w:eastAsia="Times New Roman" w:cs="Times New Roman"/>
          <w:b/>
          <w:bCs/>
          <w:i w:val="0"/>
          <w:iCs/>
          <w:color w:val="2E54A1" w:themeColor="accent1" w:themeShade="BF"/>
          <w:kern w:val="22"/>
          <w:sz w:val="32"/>
          <w:szCs w:val="32"/>
          <w:lang w:val="en-US" w:eastAsia="en-GB"/>
        </w:rPr>
      </w:pPr>
      <w:r>
        <w:rPr>
          <w:rFonts w:hint="default" w:ascii="Times New Roman" w:hAnsi="Times New Roman" w:eastAsia="Times New Roman" w:cs="Times New Roman"/>
          <w:b/>
          <w:bCs/>
          <w:i w:val="0"/>
          <w:iCs/>
          <w:color w:val="2E54A1" w:themeColor="accent1" w:themeShade="BF"/>
          <w:kern w:val="22"/>
          <w:sz w:val="32"/>
          <w:szCs w:val="32"/>
          <w:lang w:val="en-US" w:eastAsia="en-GB"/>
        </w:rPr>
        <w:br w:type="page"/>
      </w:r>
    </w:p>
    <w:p w14:paraId="4BD02B80">
      <w:pPr>
        <w:numPr>
          <w:ilvl w:val="0"/>
          <w:numId w:val="0"/>
        </w:numPr>
        <w:jc w:val="center"/>
        <w:rPr>
          <w:rFonts w:hint="default" w:ascii="Calibri" w:hAnsi="Calibri" w:eastAsia="Times New Roman" w:cs="Calibri"/>
          <w:b/>
          <w:bCs/>
          <w:i w:val="0"/>
          <w:iCs/>
          <w:color w:val="2E54A1" w:themeColor="accent1" w:themeShade="BF"/>
          <w:kern w:val="22"/>
          <w:sz w:val="32"/>
          <w:szCs w:val="32"/>
          <w:lang w:val="en-US" w:eastAsia="en-GB"/>
        </w:rPr>
      </w:pPr>
      <w:r>
        <w:rPr>
          <w:rFonts w:hint="default" w:ascii="Times New Roman" w:hAnsi="Times New Roman" w:eastAsia="Times New Roman" w:cs="Times New Roman"/>
          <w:b/>
          <w:bCs/>
          <w:i w:val="0"/>
          <w:iCs/>
          <w:color w:val="2E54A1" w:themeColor="accent1" w:themeShade="BF"/>
          <w:kern w:val="22"/>
          <w:sz w:val="32"/>
          <w:szCs w:val="32"/>
          <w:lang w:val="en-US" w:eastAsia="en-GB"/>
        </w:rPr>
        <w:t>1. INTRODUCTION</w:t>
      </w:r>
    </w:p>
    <w:p w14:paraId="43A36908">
      <w:pPr>
        <w:numPr>
          <w:ilvl w:val="0"/>
          <w:numId w:val="0"/>
        </w:numPr>
        <w:ind w:leftChars="0"/>
        <w:jc w:val="left"/>
        <w:rPr>
          <w:rFonts w:hint="default" w:ascii="Calibri" w:hAnsi="Calibri" w:eastAsia="Times New Roman" w:cs="Calibri"/>
          <w:i w:val="0"/>
          <w:iCs/>
          <w:color w:val="2E54A1" w:themeColor="accent1" w:themeShade="BF"/>
          <w:kern w:val="22"/>
          <w:lang w:val="en-US" w:eastAsia="en-GB"/>
        </w:rPr>
      </w:pPr>
    </w:p>
    <w:p w14:paraId="3D714C67">
      <w:pPr>
        <w:numPr>
          <w:ilvl w:val="1"/>
          <w:numId w:val="2"/>
        </w:numPr>
        <w:ind w:leftChars="0"/>
        <w:jc w:val="left"/>
        <w:rPr>
          <w:rFonts w:hint="default" w:ascii="Calibri" w:hAnsi="Calibri" w:eastAsia="Times New Roman" w:cs="Calibri"/>
          <w:i/>
          <w:iCs w:val="0"/>
          <w:kern w:val="22"/>
          <w:sz w:val="24"/>
          <w:szCs w:val="24"/>
          <w:lang w:val="en-US" w:eastAsia="en-GB"/>
        </w:rPr>
      </w:pPr>
      <w:r>
        <w:rPr>
          <w:rFonts w:hint="default" w:ascii="Calibri" w:hAnsi="Calibri" w:eastAsia="Times New Roman" w:cs="Calibri"/>
          <w:i/>
          <w:iCs w:val="0"/>
          <w:kern w:val="22"/>
          <w:sz w:val="24"/>
          <w:szCs w:val="24"/>
          <w:lang w:val="en-US" w:eastAsia="en-GB"/>
        </w:rPr>
        <w:t>The Target Protein: PfPGM1</w:t>
      </w:r>
    </w:p>
    <w:p w14:paraId="3B5CCBB4">
      <w:pPr>
        <w:numPr>
          <w:ilvl w:val="0"/>
          <w:numId w:val="0"/>
        </w:numPr>
        <w:ind w:leftChars="0"/>
        <w:jc w:val="left"/>
        <w:rPr>
          <w:rFonts w:hint="default" w:ascii="Calibri" w:hAnsi="Calibri" w:eastAsia="Times New Roman" w:cs="Calibri"/>
          <w:i w:val="0"/>
          <w:iCs/>
          <w:kern w:val="22"/>
          <w:lang w:val="en-US" w:eastAsia="en-GB"/>
        </w:rPr>
      </w:pPr>
    </w:p>
    <w:p w14:paraId="1E9272A7">
      <w:pPr>
        <w:numPr>
          <w:ilvl w:val="0"/>
          <w:numId w:val="0"/>
        </w:numPr>
        <w:ind w:leftChars="0"/>
        <w:jc w:val="left"/>
        <w:rPr>
          <w:rFonts w:hint="default" w:ascii="Calibri" w:hAnsi="Calibri" w:eastAsia="Times New Roman" w:cs="Calibri"/>
          <w:i w:val="0"/>
          <w:iCs/>
          <w:kern w:val="22"/>
          <w:lang w:val="en-US" w:eastAsia="en-GB"/>
        </w:rPr>
      </w:pPr>
      <w:r>
        <w:rPr>
          <w:rFonts w:hint="default" w:ascii="Calibri" w:hAnsi="Calibri" w:eastAsia="Times New Roman" w:cs="Calibri"/>
          <w:i w:val="0"/>
          <w:iCs/>
          <w:kern w:val="22"/>
          <w:lang w:val="en-US" w:eastAsia="en-GB"/>
        </w:rPr>
        <w:t xml:space="preserve"> The selected protein for this study is Phosphoglycerate Mutase (PGM1), an essential enzyme involved in the glycolytic pathway of the malaria parasite </w:t>
      </w:r>
      <w:r>
        <w:rPr>
          <w:rFonts w:hint="default" w:ascii="Calibri" w:hAnsi="Calibri" w:eastAsia="Times New Roman" w:cs="Calibri"/>
          <w:i/>
          <w:iCs w:val="0"/>
          <w:kern w:val="22"/>
          <w:lang w:val="en-US" w:eastAsia="en-GB"/>
        </w:rPr>
        <w:t>Plasmodium Falciparum</w:t>
      </w:r>
      <w:r>
        <w:rPr>
          <w:rFonts w:hint="default" w:ascii="Calibri" w:hAnsi="Calibri" w:eastAsia="Times New Roman" w:cs="Calibri"/>
          <w:i w:val="0"/>
          <w:iCs/>
          <w:kern w:val="22"/>
          <w:lang w:val="en-US" w:eastAsia="en-GB"/>
        </w:rPr>
        <w:t>. This enzyme plays a key role in ATP generation, which is critical for the parasite’s survival and proliferation. Inhibition of this protein can disrupt the parasite’s energy metabolism, ultimately leading to its death.</w:t>
      </w:r>
    </w:p>
    <w:p w14:paraId="75D65F35">
      <w:pPr>
        <w:numPr>
          <w:ilvl w:val="0"/>
          <w:numId w:val="0"/>
        </w:numPr>
        <w:ind w:leftChars="0"/>
        <w:jc w:val="left"/>
        <w:rPr>
          <w:rFonts w:hint="default" w:ascii="Calibri" w:hAnsi="Calibri" w:eastAsia="Times New Roman" w:cs="Calibri"/>
          <w:i w:val="0"/>
          <w:iCs/>
          <w:kern w:val="22"/>
          <w:lang w:val="en-US" w:eastAsia="en-GB"/>
        </w:rPr>
      </w:pPr>
      <w:r>
        <w:rPr>
          <w:rFonts w:hint="default" w:ascii="Calibri" w:hAnsi="Calibri" w:eastAsia="Times New Roman" w:cs="Calibri"/>
          <w:i w:val="0"/>
          <w:iCs/>
          <w:kern w:val="22"/>
          <w:lang w:val="en-US" w:eastAsia="en-GB"/>
        </w:rPr>
        <w:t>The three-dimensional structure of PfPGM1 from PDB with PDB ID: 1XQ9 was determined using X-ray crystallography at a resolution of 2.58</w:t>
      </w:r>
      <w:r>
        <w:rPr>
          <w:rFonts w:hint="default" w:ascii="Calibri" w:hAnsi="Calibri" w:eastAsia="SimSun" w:cs="Calibri"/>
          <w:i w:val="0"/>
          <w:iCs/>
          <w:sz w:val="24"/>
          <w:szCs w:val="24"/>
        </w:rPr>
        <w:t>Å</w:t>
      </w:r>
      <w:r>
        <w:rPr>
          <w:rFonts w:hint="default" w:ascii="Calibri" w:hAnsi="Calibri" w:eastAsia="SimSun" w:cs="Calibri"/>
          <w:i w:val="0"/>
          <w:iCs/>
          <w:sz w:val="24"/>
          <w:szCs w:val="24"/>
          <w:lang w:val="en-US"/>
        </w:rPr>
        <w:t>.</w:t>
      </w:r>
      <w:r>
        <w:rPr>
          <w:rFonts w:hint="default" w:ascii="Calibri" w:hAnsi="Calibri" w:eastAsia="Times New Roman" w:cs="Calibri"/>
          <w:i w:val="0"/>
          <w:iCs/>
          <w:kern w:val="22"/>
          <w:lang w:val="en-US" w:eastAsia="en-GB"/>
        </w:rPr>
        <w:t>Structurally, the protein exists as a tetramer, which consists of four identical subunits that function together as a single unit.</w:t>
      </w:r>
    </w:p>
    <w:p w14:paraId="39131F99">
      <w:pPr>
        <w:numPr>
          <w:ilvl w:val="0"/>
          <w:numId w:val="0"/>
        </w:numPr>
        <w:ind w:leftChars="0"/>
        <w:jc w:val="left"/>
        <w:rPr>
          <w:rFonts w:hint="default" w:ascii="Calibri" w:hAnsi="Calibri" w:eastAsia="Times New Roman" w:cs="Calibri"/>
          <w:i w:val="0"/>
          <w:iCs/>
          <w:kern w:val="22"/>
          <w:lang w:val="en-US" w:eastAsia="en-GB"/>
        </w:rPr>
      </w:pPr>
      <w:r>
        <w:rPr>
          <w:rFonts w:hint="default" w:ascii="Calibri" w:hAnsi="Calibri" w:eastAsia="Times New Roman" w:cs="Calibri"/>
          <w:i w:val="0"/>
          <w:iCs/>
          <w:kern w:val="22"/>
          <w:lang w:val="en-US" w:eastAsia="en-GB"/>
        </w:rPr>
        <w:t>PfPGM1 is considered a promising drug target due to its structural differences from the human counterpart. These differences allow the development of selective inhibitors that specifically target the parasite enzyme while reducing potential side effects in humans.</w:t>
      </w:r>
    </w:p>
    <w:p w14:paraId="0A55CF2E">
      <w:pPr>
        <w:numPr>
          <w:ilvl w:val="0"/>
          <w:numId w:val="0"/>
        </w:numPr>
        <w:ind w:leftChars="0"/>
        <w:jc w:val="left"/>
        <w:rPr>
          <w:rFonts w:hint="default" w:ascii="Calibri" w:hAnsi="Calibri" w:eastAsia="Times New Roman" w:cs="Calibri"/>
          <w:i w:val="0"/>
          <w:iCs/>
          <w:kern w:val="22"/>
          <w:lang w:val="en-US" w:eastAsia="en-GB"/>
        </w:rPr>
      </w:pPr>
    </w:p>
    <w:p w14:paraId="6B4A6E86">
      <w:pPr>
        <w:numPr>
          <w:ilvl w:val="1"/>
          <w:numId w:val="2"/>
        </w:numPr>
        <w:ind w:left="0" w:leftChars="0" w:firstLine="0" w:firstLineChars="0"/>
        <w:jc w:val="left"/>
        <w:rPr>
          <w:rFonts w:hint="default" w:ascii="Calibri" w:hAnsi="Calibri" w:eastAsia="Times New Roman" w:cs="Calibri"/>
          <w:i/>
          <w:iCs w:val="0"/>
          <w:kern w:val="22"/>
          <w:sz w:val="24"/>
          <w:szCs w:val="24"/>
          <w:lang w:val="en-US" w:eastAsia="en-GB"/>
        </w:rPr>
      </w:pPr>
      <w:r>
        <w:rPr>
          <w:rFonts w:hint="default" w:ascii="Calibri" w:hAnsi="Calibri" w:eastAsia="Times New Roman" w:cs="Calibri"/>
          <w:i/>
          <w:iCs w:val="0"/>
          <w:kern w:val="22"/>
          <w:sz w:val="24"/>
          <w:szCs w:val="24"/>
          <w:lang w:val="en-US" w:eastAsia="en-GB"/>
        </w:rPr>
        <w:t>Why Phytochemicals?</w:t>
      </w:r>
    </w:p>
    <w:p w14:paraId="6C310D4F">
      <w:pPr>
        <w:numPr>
          <w:ilvl w:val="0"/>
          <w:numId w:val="0"/>
        </w:numPr>
        <w:ind w:leftChars="0"/>
        <w:jc w:val="left"/>
        <w:rPr>
          <w:rFonts w:hint="default" w:ascii="Calibri" w:hAnsi="Calibri" w:eastAsia="Times New Roman" w:cs="Calibri"/>
          <w:i/>
          <w:iCs w:val="0"/>
          <w:kern w:val="22"/>
          <w:sz w:val="24"/>
          <w:szCs w:val="24"/>
          <w:lang w:val="en-US" w:eastAsia="en-GB"/>
        </w:rPr>
      </w:pPr>
    </w:p>
    <w:p w14:paraId="27B6C94B">
      <w:pPr>
        <w:numPr>
          <w:ilvl w:val="0"/>
          <w:numId w:val="0"/>
        </w:numPr>
        <w:ind w:leftChars="0"/>
        <w:jc w:val="left"/>
        <w:rPr>
          <w:rFonts w:hint="default" w:ascii="Calibri" w:hAnsi="Calibri" w:eastAsia="Times New Roman" w:cs="Calibri"/>
          <w:i w:val="0"/>
          <w:iCs/>
          <w:kern w:val="22"/>
          <w:lang w:val="en-US" w:eastAsia="en-GB"/>
        </w:rPr>
      </w:pPr>
      <w:r>
        <w:rPr>
          <w:rFonts w:hint="default" w:ascii="Calibri" w:hAnsi="Calibri" w:eastAsia="Times New Roman" w:cs="Calibri"/>
          <w:i w:val="0"/>
          <w:iCs/>
          <w:kern w:val="22"/>
          <w:lang w:val="en-US" w:eastAsia="en-GB"/>
        </w:rPr>
        <w:t xml:space="preserve"> Phytochemicals are naturally occurring bioactive compounds derived from plants, many of which have or possess antimicrobial and antiparasitic properties (Plants,202;Malaria Journal,2015). Compared to the synthetic drugs, these compounds are often associated with improved biocompatibility and reduced toxicity (Newman &amp; Cragg, 2016). The structural diversity of phytochemicals makes them valuable candidates in drug discovery, providing a rich source of potential lead compounds (Harvey,2008). Furthermore, computational screening of these compounds enables rapid identification of potential inhibitors, significantly reducing the time,cost and effort associated with experimental approaches.</w:t>
      </w:r>
    </w:p>
    <w:p w14:paraId="7090B29D">
      <w:pPr>
        <w:numPr>
          <w:ilvl w:val="0"/>
          <w:numId w:val="0"/>
        </w:numPr>
        <w:ind w:leftChars="0"/>
        <w:jc w:val="left"/>
        <w:rPr>
          <w:rFonts w:hint="default" w:ascii="Calibri" w:hAnsi="Calibri" w:eastAsia="Times New Roman" w:cs="Calibri"/>
          <w:i/>
          <w:iCs w:val="0"/>
          <w:kern w:val="22"/>
          <w:sz w:val="24"/>
          <w:szCs w:val="24"/>
          <w:lang w:val="en-US" w:eastAsia="en-GB"/>
        </w:rPr>
      </w:pPr>
    </w:p>
    <w:p w14:paraId="4FE5683F">
      <w:pPr>
        <w:numPr>
          <w:ilvl w:val="1"/>
          <w:numId w:val="2"/>
        </w:numPr>
        <w:ind w:left="0" w:leftChars="0" w:firstLine="0" w:firstLineChars="0"/>
        <w:jc w:val="left"/>
        <w:rPr>
          <w:rFonts w:hint="default" w:ascii="Calibri" w:hAnsi="Calibri" w:eastAsia="Times New Roman" w:cs="Calibri"/>
          <w:i w:val="0"/>
          <w:iCs/>
          <w:kern w:val="22"/>
          <w:sz w:val="24"/>
          <w:szCs w:val="24"/>
          <w:lang w:val="en-US" w:eastAsia="en-GB"/>
        </w:rPr>
      </w:pPr>
      <w:r>
        <w:rPr>
          <w:rFonts w:hint="default" w:ascii="Calibri" w:hAnsi="Calibri" w:eastAsia="Times New Roman" w:cs="Calibri"/>
          <w:i/>
          <w:iCs w:val="0"/>
          <w:kern w:val="22"/>
          <w:sz w:val="24"/>
          <w:szCs w:val="24"/>
          <w:lang w:val="en-US" w:eastAsia="en-GB"/>
        </w:rPr>
        <w:t>Literature review</w:t>
      </w:r>
    </w:p>
    <w:p w14:paraId="39773773">
      <w:pPr>
        <w:numPr>
          <w:ilvl w:val="0"/>
          <w:numId w:val="0"/>
        </w:numPr>
        <w:ind w:leftChars="0"/>
        <w:jc w:val="left"/>
        <w:rPr>
          <w:rFonts w:hint="default" w:ascii="Calibri" w:hAnsi="Calibri" w:eastAsia="Times New Roman" w:cs="Calibri"/>
          <w:i w:val="0"/>
          <w:iCs/>
          <w:kern w:val="22"/>
          <w:lang w:val="en-US" w:eastAsia="en-GB"/>
        </w:rPr>
      </w:pPr>
      <w:r>
        <w:rPr>
          <w:rFonts w:hint="default" w:ascii="Calibri" w:hAnsi="Calibri" w:eastAsia="Times New Roman" w:cs="Calibri"/>
          <w:i w:val="0"/>
          <w:iCs/>
          <w:kern w:val="22"/>
          <w:lang w:val="en-US" w:eastAsia="en-GB"/>
        </w:rPr>
        <w:t xml:space="preserve"> </w:t>
      </w:r>
    </w:p>
    <w:p w14:paraId="65FF4D7B">
      <w:pPr>
        <w:numPr>
          <w:ilvl w:val="0"/>
          <w:numId w:val="0"/>
        </w:numPr>
        <w:ind w:leftChars="0"/>
        <w:jc w:val="left"/>
        <w:rPr>
          <w:rFonts w:hint="default" w:ascii="Calibri" w:hAnsi="Calibri" w:eastAsia="Times New Roman" w:cs="Calibri"/>
          <w:i w:val="0"/>
          <w:iCs/>
          <w:kern w:val="22"/>
          <w:lang w:val="en-US" w:eastAsia="en-GB"/>
        </w:rPr>
      </w:pPr>
      <w:r>
        <w:rPr>
          <w:rFonts w:hint="default" w:ascii="Calibri" w:hAnsi="Calibri" w:eastAsia="Times New Roman" w:cs="Calibri"/>
          <w:i w:val="0"/>
          <w:iCs/>
          <w:kern w:val="22"/>
          <w:lang w:val="en-US" w:eastAsia="en-GB"/>
        </w:rPr>
        <w:t>Malaria caused by</w:t>
      </w:r>
      <w:r>
        <w:rPr>
          <w:rFonts w:hint="default" w:ascii="Calibri" w:hAnsi="Calibri" w:eastAsia="Times New Roman" w:cs="Calibri"/>
          <w:i/>
          <w:iCs w:val="0"/>
          <w:kern w:val="22"/>
          <w:lang w:val="en-US" w:eastAsia="en-GB"/>
        </w:rPr>
        <w:t xml:space="preserve"> Plasmodium falciparum</w:t>
      </w:r>
      <w:r>
        <w:rPr>
          <w:rFonts w:hint="default" w:ascii="Calibri" w:hAnsi="Calibri" w:eastAsia="Times New Roman" w:cs="Calibri"/>
          <w:i w:val="0"/>
          <w:iCs/>
          <w:kern w:val="22"/>
          <w:lang w:val="en-US" w:eastAsia="en-GB"/>
        </w:rPr>
        <w:t xml:space="preserve"> remains a major global health problem, with over 600,000 deaths reported annually. The situation has been made worse by the parasite developing resistance to drugs, making it necessary to identify new drug targets and find better treatment options (ashley et al., 2014; Dondorp et al., 2009)</w:t>
      </w:r>
    </w:p>
    <w:p w14:paraId="5C987685">
      <w:pPr>
        <w:numPr>
          <w:ilvl w:val="0"/>
          <w:numId w:val="0"/>
        </w:numPr>
        <w:jc w:val="left"/>
        <w:rPr>
          <w:rFonts w:hint="default" w:ascii="Calibri" w:hAnsi="Calibri" w:eastAsia="Times New Roman" w:cs="Calibri"/>
          <w:i w:val="0"/>
          <w:iCs/>
          <w:kern w:val="22"/>
          <w:lang w:val="en-US" w:eastAsia="en-GB"/>
        </w:rPr>
      </w:pPr>
      <w:r>
        <w:rPr>
          <w:rFonts w:hint="default" w:ascii="Calibri" w:hAnsi="Calibri" w:eastAsia="Times New Roman" w:cs="Calibri"/>
          <w:i/>
          <w:iCs w:val="0"/>
          <w:kern w:val="22"/>
          <w:lang w:val="en-US" w:eastAsia="en-GB"/>
        </w:rPr>
        <w:t>P.falciparum</w:t>
      </w:r>
      <w:r>
        <w:rPr>
          <w:rFonts w:hint="default" w:ascii="Calibri" w:hAnsi="Calibri" w:eastAsia="Times New Roman" w:cs="Calibri"/>
          <w:i w:val="0"/>
          <w:iCs/>
          <w:kern w:val="22"/>
          <w:lang w:val="en-US" w:eastAsia="en-GB"/>
        </w:rPr>
        <w:t xml:space="preserve"> relies entirely on glycolysis to produce energy during its blood- stage infection, unlike human cells which have alternative energy pathways. This makes glycolytic enzymes attractive drug targets, since blocking them would cut off the parasite’s energy supply without significantly harming the host (Tiwari et al.,2015). Zhang et al. (2018) confirmed through genome- wide studies that glycolytic genes including pfpgm1 are essential for parasite survival, further validating this approach.</w:t>
      </w:r>
    </w:p>
    <w:p w14:paraId="16E90B01">
      <w:pPr>
        <w:numPr>
          <w:ilvl w:val="0"/>
          <w:numId w:val="0"/>
        </w:numPr>
        <w:jc w:val="left"/>
        <w:rPr>
          <w:rFonts w:hint="default" w:ascii="Calibri" w:hAnsi="Calibri" w:eastAsia="Times New Roman" w:cs="Calibri"/>
          <w:i w:val="0"/>
          <w:iCs/>
          <w:kern w:val="22"/>
          <w:lang w:val="en-US" w:eastAsia="en-GB"/>
        </w:rPr>
      </w:pPr>
      <w:r>
        <w:rPr>
          <w:rFonts w:hint="default" w:ascii="Calibri" w:hAnsi="Calibri" w:eastAsia="Times New Roman" w:cs="Calibri"/>
          <w:i w:val="0"/>
          <w:iCs/>
          <w:kern w:val="22"/>
          <w:lang w:val="en-US" w:eastAsia="en-GB"/>
        </w:rPr>
        <w:t>PfPGM1 is one such glycolytic enzyme, and its crystal structure reveals a homo- tetrameric assembly. Dzierszinski et al. (2022) showed that disrupting this tetrameric form significantly reduces enzymatic activity, while structural comparisons with the human homologue have revealed differences in the active site that could allow selective inhibition (Blacklow et al., 1995). Joseph et al. (2018) characterised the active site of the closely related protein 4ODI identifying eight conserved catalytic residues that served as the reference for active site mapping in this study.</w:t>
      </w:r>
    </w:p>
    <w:p w14:paraId="265641D9">
      <w:pPr>
        <w:numPr>
          <w:ilvl w:val="0"/>
          <w:numId w:val="0"/>
        </w:numPr>
        <w:jc w:val="left"/>
        <w:rPr>
          <w:rFonts w:hint="default" w:ascii="Calibri" w:hAnsi="Calibri" w:eastAsia="Times New Roman" w:cs="Calibri"/>
          <w:i w:val="0"/>
          <w:iCs/>
          <w:kern w:val="22"/>
          <w:lang w:val="en-US" w:eastAsia="en-GB"/>
        </w:rPr>
      </w:pPr>
      <w:r>
        <w:rPr>
          <w:rFonts w:hint="default" w:ascii="Calibri" w:hAnsi="Calibri" w:eastAsia="Times New Roman" w:cs="Calibri"/>
          <w:i w:val="0"/>
          <w:iCs/>
          <w:kern w:val="22"/>
          <w:lang w:val="en-US" w:eastAsia="en-GB"/>
        </w:rPr>
        <w:t xml:space="preserve">Plant derived compounds have long been a source of antimalarial drug leads, from quinine to artemisinin (Kaur et al., 2009). Several phytochemical classes including anthraquinones and flavonoids have shown promising activity against blood-stage </w:t>
      </w:r>
      <w:r>
        <w:rPr>
          <w:rFonts w:hint="default" w:ascii="Calibri" w:hAnsi="Calibri" w:eastAsia="Times New Roman" w:cs="Calibri"/>
          <w:i/>
          <w:iCs w:val="0"/>
          <w:kern w:val="22"/>
          <w:lang w:val="en-US" w:eastAsia="en-GB"/>
        </w:rPr>
        <w:t>P.falciparum</w:t>
      </w:r>
      <w:r>
        <w:rPr>
          <w:rFonts w:hint="default" w:ascii="Calibri" w:hAnsi="Calibri" w:eastAsia="Times New Roman" w:cs="Calibri"/>
          <w:i w:val="0"/>
          <w:iCs/>
          <w:kern w:val="22"/>
          <w:lang w:val="en-US" w:eastAsia="en-GB"/>
        </w:rPr>
        <w:t xml:space="preserve"> (Osman et al.,2018). computational screening of phytochemical libraries has been validated as an efficient and cost-effective approach for early- stage drug discovery. Sarangi and Mahapatra (2025a, 2025b) demonstrated this effectively by identifying potent phytochemical leads against PfPI4K and PfPK6 using structure- based virtual screening.</w:t>
      </w:r>
    </w:p>
    <w:p w14:paraId="2A3A9A98">
      <w:pPr>
        <w:numPr>
          <w:ilvl w:val="0"/>
          <w:numId w:val="0"/>
        </w:numPr>
        <w:jc w:val="left"/>
        <w:rPr>
          <w:rFonts w:hint="default" w:ascii="Calibri" w:hAnsi="Calibri" w:eastAsia="Times New Roman" w:cs="Calibri"/>
          <w:i w:val="0"/>
          <w:iCs/>
          <w:kern w:val="22"/>
          <w:lang w:val="en-US" w:eastAsia="en-GB"/>
        </w:rPr>
      </w:pPr>
      <w:r>
        <w:rPr>
          <w:rFonts w:hint="default" w:ascii="Calibri" w:hAnsi="Calibri" w:eastAsia="Times New Roman" w:cs="Calibri"/>
          <w:i w:val="0"/>
          <w:iCs/>
          <w:kern w:val="22"/>
          <w:lang w:val="en-US" w:eastAsia="en-GB"/>
        </w:rPr>
        <w:t xml:space="preserve">For the computational work, AutoDock Vina was used for molecular docking (Trott and Olson, 2010), SwissADME for pharmacokinetic and drug-likeness evaluation (Daina et al., 2017), and GROMACS with the CHARMM36 force field for molecular dynamics simulation </w:t>
      </w:r>
    </w:p>
    <w:p w14:paraId="552B0AD9">
      <w:pPr>
        <w:numPr>
          <w:ilvl w:val="0"/>
          <w:numId w:val="0"/>
        </w:numPr>
        <w:jc w:val="left"/>
        <w:rPr>
          <w:rFonts w:hint="default" w:ascii="Calibri" w:hAnsi="Calibri" w:eastAsia="Times New Roman" w:cs="Calibri"/>
          <w:i w:val="0"/>
          <w:iCs/>
          <w:kern w:val="22"/>
          <w:lang w:val="en-US" w:eastAsia="en-GB"/>
        </w:rPr>
      </w:pPr>
      <w:r>
        <w:rPr>
          <w:rFonts w:hint="default" w:ascii="Calibri" w:hAnsi="Calibri" w:eastAsia="Times New Roman" w:cs="Calibri"/>
          <w:i w:val="0"/>
          <w:iCs/>
          <w:kern w:val="22"/>
          <w:lang w:val="en-US" w:eastAsia="en-GB"/>
        </w:rPr>
        <w:t>(Abraham et al., 2015; Huang and MacKerell, 2013). These tools together form a well-validated in silico pipeline for identifying and characterizing potential drug candidates against parasitic targets.</w:t>
      </w:r>
    </w:p>
    <w:p w14:paraId="626305BC">
      <w:pPr>
        <w:numPr>
          <w:ilvl w:val="0"/>
          <w:numId w:val="0"/>
        </w:numPr>
        <w:ind w:leftChars="0"/>
        <w:jc w:val="left"/>
        <w:rPr>
          <w:rFonts w:hint="default" w:ascii="Calibri" w:hAnsi="Calibri" w:eastAsia="Times New Roman" w:cs="Calibri"/>
          <w:i w:val="0"/>
          <w:iCs/>
          <w:kern w:val="22"/>
          <w:lang w:val="en-US" w:eastAsia="en-GB"/>
        </w:rPr>
      </w:pPr>
    </w:p>
    <w:p w14:paraId="2A9D9EEB">
      <w:pPr>
        <w:numPr>
          <w:ilvl w:val="1"/>
          <w:numId w:val="2"/>
        </w:numPr>
        <w:ind w:left="0" w:leftChars="0" w:firstLine="0" w:firstLineChars="0"/>
        <w:jc w:val="left"/>
        <w:rPr>
          <w:rFonts w:hint="default" w:ascii="Calibri" w:hAnsi="Calibri" w:cs="Calibri"/>
          <w:i w:val="0"/>
          <w:iCs/>
          <w:sz w:val="24"/>
          <w:szCs w:val="24"/>
          <w:lang w:val="en-US"/>
        </w:rPr>
      </w:pPr>
      <w:r>
        <w:rPr>
          <w:rFonts w:hint="default" w:ascii="Calibri" w:hAnsi="Calibri" w:eastAsia="Times New Roman" w:cs="Calibri"/>
          <w:i/>
          <w:iCs w:val="0"/>
          <w:kern w:val="22"/>
          <w:sz w:val="24"/>
          <w:szCs w:val="24"/>
          <w:lang w:val="en-US" w:eastAsia="en-GB"/>
        </w:rPr>
        <w:t>Objectives</w:t>
      </w:r>
    </w:p>
    <w:p w14:paraId="6D3DD470">
      <w:pPr>
        <w:numPr>
          <w:ilvl w:val="0"/>
          <w:numId w:val="0"/>
        </w:numPr>
        <w:ind w:leftChars="0"/>
        <w:jc w:val="left"/>
        <w:rPr>
          <w:rFonts w:hint="default" w:ascii="Calibri" w:hAnsi="Calibri" w:eastAsia="Times New Roman" w:cs="Calibri"/>
          <w:i/>
          <w:iCs w:val="0"/>
          <w:kern w:val="22"/>
          <w:sz w:val="24"/>
          <w:szCs w:val="24"/>
          <w:lang w:val="en-US" w:eastAsia="en-GB"/>
        </w:rPr>
      </w:pPr>
    </w:p>
    <w:p w14:paraId="7B078B10">
      <w:pPr>
        <w:numPr>
          <w:ilvl w:val="0"/>
          <w:numId w:val="0"/>
        </w:numPr>
        <w:ind w:leftChars="0"/>
        <w:jc w:val="left"/>
        <w:rPr>
          <w:rFonts w:hint="default" w:ascii="Calibri" w:hAnsi="Calibri" w:cs="Calibri"/>
          <w:i w:val="0"/>
          <w:iCs/>
          <w:sz w:val="20"/>
          <w:szCs w:val="20"/>
          <w:lang w:val="en-US"/>
        </w:rPr>
      </w:pPr>
      <w:r>
        <w:rPr>
          <w:rFonts w:hint="default" w:ascii="Calibri" w:hAnsi="Calibri" w:eastAsia="Arial" w:cs="Calibri"/>
          <w:i w:val="0"/>
          <w:iCs/>
          <w:sz w:val="20"/>
          <w:szCs w:val="20"/>
        </w:rPr>
        <w:t>Th</w:t>
      </w:r>
      <w:r>
        <w:rPr>
          <w:rFonts w:hint="default" w:ascii="Calibri" w:hAnsi="Calibri" w:cs="Calibri"/>
          <w:i w:val="0"/>
          <w:iCs/>
          <w:sz w:val="20"/>
          <w:szCs w:val="20"/>
          <w:lang w:val="en-US"/>
        </w:rPr>
        <w:t>e primary objectives of this study are as follows:</w:t>
      </w:r>
    </w:p>
    <w:p w14:paraId="6F44B7FE">
      <w:pPr>
        <w:pStyle w:val="15"/>
        <w:numPr>
          <w:ilvl w:val="0"/>
          <w:numId w:val="3"/>
        </w:numPr>
        <w:spacing w:before="50" w:after="50"/>
        <w:rPr>
          <w:rFonts w:hint="default" w:ascii="Calibri" w:hAnsi="Calibri" w:cs="Calibri"/>
          <w:i w:val="0"/>
          <w:iCs/>
          <w:sz w:val="20"/>
          <w:szCs w:val="20"/>
        </w:rPr>
      </w:pPr>
      <w:r>
        <w:rPr>
          <w:rFonts w:hint="default" w:ascii="Calibri" w:hAnsi="Calibri" w:cs="Calibri"/>
          <w:i w:val="0"/>
          <w:iCs/>
          <w:sz w:val="20"/>
          <w:szCs w:val="20"/>
          <w:lang w:val="en-US"/>
        </w:rPr>
        <w:t>To identify the active site residues of PfPGM1 (1XQ9) using a homology- based computational approach.</w:t>
      </w:r>
    </w:p>
    <w:p w14:paraId="66F0573B">
      <w:pPr>
        <w:pStyle w:val="15"/>
        <w:numPr>
          <w:ilvl w:val="0"/>
          <w:numId w:val="3"/>
        </w:numPr>
        <w:spacing w:before="50" w:after="50"/>
        <w:rPr>
          <w:rFonts w:hint="default" w:ascii="Calibri" w:hAnsi="Calibri" w:cs="Calibri"/>
          <w:i w:val="0"/>
          <w:iCs/>
          <w:sz w:val="20"/>
          <w:szCs w:val="20"/>
        </w:rPr>
      </w:pPr>
      <w:r>
        <w:rPr>
          <w:rFonts w:hint="default" w:ascii="Calibri" w:hAnsi="Calibri" w:cs="Calibri"/>
          <w:i w:val="0"/>
          <w:iCs/>
          <w:sz w:val="20"/>
          <w:szCs w:val="20"/>
          <w:lang w:val="en-US"/>
        </w:rPr>
        <w:t>To perform virtual screening of selected phytochemicals using AutoDock Vina in order to identify potential inhibitors.</w:t>
      </w:r>
    </w:p>
    <w:p w14:paraId="4F601F39">
      <w:pPr>
        <w:pStyle w:val="15"/>
        <w:numPr>
          <w:ilvl w:val="0"/>
          <w:numId w:val="3"/>
        </w:numPr>
        <w:spacing w:before="50" w:after="50"/>
        <w:rPr>
          <w:rFonts w:hint="default" w:ascii="Calibri" w:hAnsi="Calibri" w:cs="Calibri"/>
          <w:i w:val="0"/>
          <w:iCs/>
          <w:sz w:val="20"/>
          <w:szCs w:val="20"/>
        </w:rPr>
      </w:pPr>
      <w:r>
        <w:rPr>
          <w:rFonts w:hint="default" w:ascii="Calibri" w:hAnsi="Calibri" w:cs="Calibri"/>
          <w:i w:val="0"/>
          <w:iCs/>
          <w:sz w:val="20"/>
          <w:szCs w:val="20"/>
          <w:lang w:val="en-US"/>
        </w:rPr>
        <w:t>To assess the top 10 compounds for drug- likeness and pharmacokinetic proerties using SwissADME.</w:t>
      </w:r>
    </w:p>
    <w:p w14:paraId="7E300949">
      <w:pPr>
        <w:pStyle w:val="15"/>
        <w:numPr>
          <w:ilvl w:val="0"/>
          <w:numId w:val="3"/>
        </w:numPr>
        <w:spacing w:before="50" w:after="50"/>
        <w:rPr>
          <w:rFonts w:hint="default" w:ascii="Calibri" w:hAnsi="Calibri" w:cs="Calibri"/>
          <w:i w:val="0"/>
          <w:iCs/>
          <w:sz w:val="20"/>
          <w:szCs w:val="20"/>
        </w:rPr>
      </w:pPr>
      <w:r>
        <w:rPr>
          <w:rFonts w:hint="default" w:ascii="Calibri" w:hAnsi="Calibri" w:cs="Calibri"/>
          <w:i w:val="0"/>
          <w:iCs/>
          <w:sz w:val="20"/>
          <w:szCs w:val="20"/>
          <w:lang w:val="en-US"/>
        </w:rPr>
        <w:t xml:space="preserve">To conduct a </w:t>
      </w:r>
      <w:r>
        <w:rPr>
          <w:rFonts w:hint="default" w:ascii="Calibri" w:hAnsi="Calibri" w:eastAsia="Arial" w:cs="Calibri"/>
          <w:i w:val="0"/>
          <w:iCs/>
          <w:sz w:val="20"/>
          <w:szCs w:val="20"/>
        </w:rPr>
        <w:t xml:space="preserve">10 ns MD simulation to </w:t>
      </w:r>
      <w:r>
        <w:rPr>
          <w:rFonts w:hint="default" w:ascii="Calibri" w:hAnsi="Calibri" w:cs="Calibri"/>
          <w:i w:val="0"/>
          <w:iCs/>
          <w:sz w:val="20"/>
          <w:szCs w:val="20"/>
          <w:lang w:val="en-US"/>
        </w:rPr>
        <w:t>evaluate the stability of the most promising protein-ligand complex.</w:t>
      </w:r>
    </w:p>
    <w:p w14:paraId="7FE0F938">
      <w:pPr>
        <w:numPr>
          <w:ilvl w:val="0"/>
          <w:numId w:val="0"/>
        </w:numPr>
        <w:ind w:leftChars="0"/>
        <w:jc w:val="left"/>
        <w:rPr>
          <w:rFonts w:hint="default" w:ascii="Times New Roman" w:hAnsi="Times New Roman" w:eastAsia="Times New Roman" w:cs="Times New Roman"/>
          <w:i/>
          <w:kern w:val="22"/>
          <w:lang w:val="en-US" w:eastAsia="en-GB"/>
        </w:rPr>
      </w:pPr>
    </w:p>
    <w:p w14:paraId="4C17188C">
      <w:pPr>
        <w:jc w:val="center"/>
        <w:rPr>
          <w:rFonts w:hint="default" w:ascii="Calibri" w:hAnsi="Calibri" w:cs="Calibri"/>
          <w:b/>
          <w:bCs/>
          <w:i w:val="0"/>
          <w:iCs w:val="0"/>
          <w:sz w:val="32"/>
          <w:szCs w:val="32"/>
        </w:rPr>
      </w:pPr>
      <w:r>
        <w:rPr>
          <w:rFonts w:hint="default" w:ascii="Calibri" w:hAnsi="Calibri" w:cs="Calibri"/>
          <w:b/>
          <w:bCs/>
          <w:i w:val="0"/>
          <w:iCs w:val="0"/>
          <w:color w:val="2E4A7A"/>
          <w:sz w:val="32"/>
          <w:szCs w:val="32"/>
          <w:lang w:val="en-US"/>
        </w:rPr>
        <w:t xml:space="preserve">2. </w:t>
      </w:r>
      <w:r>
        <w:rPr>
          <w:rFonts w:hint="default" w:ascii="Calibri" w:hAnsi="Calibri" w:eastAsia="Arial" w:cs="Calibri"/>
          <w:b/>
          <w:bCs/>
          <w:i w:val="0"/>
          <w:iCs w:val="0"/>
          <w:color w:val="2E4A7A"/>
          <w:sz w:val="32"/>
          <w:szCs w:val="32"/>
        </w:rPr>
        <w:t>Methodology</w:t>
      </w:r>
    </w:p>
    <w:p w14:paraId="0A8FAD47">
      <w:pPr>
        <w:pStyle w:val="3"/>
        <w:spacing w:before="220" w:after="100"/>
        <w:rPr>
          <w:rFonts w:hint="default" w:ascii="Calibri" w:hAnsi="Calibri" w:cs="Calibri"/>
          <w:b/>
          <w:bCs/>
          <w:i/>
          <w:iCs/>
          <w:color w:val="auto"/>
          <w:sz w:val="24"/>
          <w:szCs w:val="24"/>
          <w:lang w:val="en-US"/>
        </w:rPr>
      </w:pPr>
      <w:r>
        <w:rPr>
          <w:rFonts w:hint="default" w:ascii="Calibri" w:hAnsi="Calibri" w:eastAsia="Arial" w:cs="Calibri"/>
          <w:b/>
          <w:bCs/>
          <w:i/>
          <w:iCs/>
          <w:color w:val="auto"/>
          <w:sz w:val="24"/>
          <w:szCs w:val="24"/>
        </w:rPr>
        <w:t xml:space="preserve">2.1 Identifying the Active Site of </w:t>
      </w:r>
      <w:r>
        <w:rPr>
          <w:rFonts w:hint="default" w:ascii="Calibri" w:hAnsi="Calibri" w:cs="Calibri"/>
          <w:b/>
          <w:bCs/>
          <w:i/>
          <w:iCs/>
          <w:color w:val="auto"/>
          <w:sz w:val="24"/>
          <w:szCs w:val="24"/>
          <w:lang w:val="en-US"/>
        </w:rPr>
        <w:t>PfPGM1</w:t>
      </w:r>
    </w:p>
    <w:p w14:paraId="2C2C0323">
      <w:pPr>
        <w:spacing w:before="160" w:after="80"/>
        <w:rPr>
          <w:rFonts w:hint="default" w:ascii="Calibri" w:hAnsi="Calibri" w:eastAsia="Arial" w:cs="Calibri"/>
          <w:b w:val="0"/>
          <w:bCs w:val="0"/>
          <w:i/>
          <w:iCs/>
          <w:color w:val="333333"/>
          <w:sz w:val="20"/>
          <w:szCs w:val="20"/>
          <w:u w:val="single"/>
        </w:rPr>
      </w:pPr>
      <w:r>
        <w:rPr>
          <w:rFonts w:hint="default" w:ascii="Calibri" w:hAnsi="Calibri" w:eastAsia="Arial" w:cs="Calibri"/>
          <w:b w:val="0"/>
          <w:bCs w:val="0"/>
          <w:i/>
          <w:iCs/>
          <w:color w:val="333333"/>
          <w:sz w:val="20"/>
          <w:szCs w:val="20"/>
          <w:u w:val="single"/>
        </w:rPr>
        <w:t>Step 1: Finding the Target Protein</w:t>
      </w:r>
    </w:p>
    <w:p w14:paraId="62F58137">
      <w:pPr>
        <w:spacing w:before="160" w:after="80"/>
        <w:rPr>
          <w:rFonts w:hint="default" w:ascii="Calibri" w:hAnsi="Calibri" w:cs="Calibri"/>
          <w:i w:val="0"/>
          <w:iCs w:val="0"/>
          <w:sz w:val="20"/>
          <w:szCs w:val="20"/>
          <w:lang w:val="en-US"/>
        </w:rPr>
      </w:pPr>
      <w:r>
        <w:rPr>
          <w:rFonts w:hint="default" w:ascii="Calibri" w:hAnsi="Calibri" w:eastAsia="Arial" w:cs="Calibri"/>
          <w:i w:val="0"/>
          <w:iCs w:val="0"/>
          <w:sz w:val="20"/>
          <w:szCs w:val="20"/>
        </w:rPr>
        <w:t xml:space="preserve">The 3D structure of </w:t>
      </w:r>
      <w:r>
        <w:rPr>
          <w:rFonts w:hint="default" w:ascii="Calibri" w:hAnsi="Calibri" w:cs="Calibri"/>
          <w:i w:val="0"/>
          <w:iCs w:val="0"/>
          <w:sz w:val="20"/>
          <w:szCs w:val="20"/>
          <w:lang w:val="en-US"/>
        </w:rPr>
        <w:t>PfPGM1</w:t>
      </w:r>
      <w:r>
        <w:rPr>
          <w:rFonts w:hint="default" w:ascii="Calibri" w:hAnsi="Calibri" w:eastAsia="Arial" w:cs="Calibri"/>
          <w:i w:val="0"/>
          <w:iCs w:val="0"/>
          <w:sz w:val="20"/>
          <w:szCs w:val="20"/>
        </w:rPr>
        <w:t xml:space="preserve"> (PDB ID: 1XQ9) was </w:t>
      </w:r>
      <w:r>
        <w:rPr>
          <w:rFonts w:hint="default" w:ascii="Calibri" w:hAnsi="Calibri" w:cs="Calibri"/>
          <w:i w:val="0"/>
          <w:iCs w:val="0"/>
          <w:sz w:val="20"/>
          <w:szCs w:val="20"/>
          <w:lang w:val="en-US"/>
        </w:rPr>
        <w:t xml:space="preserve">obtained </w:t>
      </w:r>
      <w:r>
        <w:rPr>
          <w:rFonts w:hint="default" w:ascii="Calibri" w:hAnsi="Calibri" w:eastAsia="Arial" w:cs="Calibri"/>
          <w:i w:val="0"/>
          <w:iCs w:val="0"/>
          <w:sz w:val="20"/>
          <w:szCs w:val="20"/>
        </w:rPr>
        <w:t>from the RCSB Protein Data Bank (www.rcsb.org). This structure was</w:t>
      </w:r>
      <w:r>
        <w:rPr>
          <w:rFonts w:hint="default" w:ascii="Calibri" w:hAnsi="Calibri" w:cs="Calibri"/>
          <w:i w:val="0"/>
          <w:iCs w:val="0"/>
          <w:sz w:val="20"/>
          <w:szCs w:val="20"/>
          <w:lang w:val="en-US"/>
        </w:rPr>
        <w:t xml:space="preserve"> determined through </w:t>
      </w:r>
      <w:r>
        <w:rPr>
          <w:rFonts w:hint="default" w:ascii="Calibri" w:hAnsi="Calibri" w:eastAsia="Arial" w:cs="Calibri"/>
          <w:i w:val="0"/>
          <w:iCs w:val="0"/>
          <w:sz w:val="20"/>
          <w:szCs w:val="20"/>
        </w:rPr>
        <w:t>X-ray crystallography at 2.58 A</w:t>
      </w:r>
      <w:r>
        <w:rPr>
          <w:rFonts w:hint="default" w:ascii="Calibri" w:hAnsi="Calibri" w:cs="Calibri"/>
          <w:i w:val="0"/>
          <w:iCs w:val="0"/>
          <w:sz w:val="20"/>
          <w:szCs w:val="20"/>
          <w:lang w:val="en-US"/>
        </w:rPr>
        <w:t>. The protein is organized as a homotetramer, consisting of four identical subunits.</w:t>
      </w:r>
    </w:p>
    <w:p w14:paraId="5059960E">
      <w:pPr>
        <w:spacing w:before="160" w:after="80"/>
        <w:rPr>
          <w:rFonts w:hint="default" w:ascii="Calibri" w:hAnsi="Calibri" w:eastAsia="Arial" w:cs="Calibri"/>
          <w:b w:val="0"/>
          <w:bCs w:val="0"/>
          <w:i/>
          <w:iCs/>
          <w:color w:val="333333"/>
          <w:sz w:val="20"/>
          <w:szCs w:val="20"/>
          <w:u w:val="single"/>
        </w:rPr>
      </w:pPr>
      <w:r>
        <w:rPr>
          <w:rFonts w:hint="default" w:ascii="Calibri" w:hAnsi="Calibri" w:eastAsia="Arial" w:cs="Calibri"/>
          <w:b w:val="0"/>
          <w:bCs w:val="0"/>
          <w:i/>
          <w:iCs/>
          <w:color w:val="333333"/>
          <w:sz w:val="20"/>
          <w:szCs w:val="20"/>
          <w:u w:val="single"/>
        </w:rPr>
        <w:t>Step 2: BLASTp Search for a Reference Protein</w:t>
      </w:r>
    </w:p>
    <w:p w14:paraId="6F04EA92">
      <w:pPr>
        <w:spacing w:before="160" w:after="80"/>
        <w:rPr>
          <w:rFonts w:hint="default" w:ascii="Calibri" w:hAnsi="Calibri" w:cs="Calibri"/>
          <w:i w:val="0"/>
          <w:iCs w:val="0"/>
          <w:sz w:val="20"/>
          <w:szCs w:val="20"/>
          <w:lang w:val="en-US"/>
        </w:rPr>
      </w:pPr>
      <w:r>
        <w:rPr>
          <w:rFonts w:hint="default" w:ascii="Calibri" w:hAnsi="Calibri" w:cs="Calibri"/>
          <w:i w:val="0"/>
          <w:iCs w:val="0"/>
          <w:sz w:val="20"/>
          <w:szCs w:val="20"/>
          <w:lang w:val="en-US"/>
        </w:rPr>
        <w:t>Since</w:t>
      </w:r>
      <w:r>
        <w:rPr>
          <w:rFonts w:hint="default" w:ascii="Calibri" w:hAnsi="Calibri" w:eastAsia="Arial" w:cs="Calibri"/>
          <w:i w:val="0"/>
          <w:iCs w:val="0"/>
          <w:sz w:val="20"/>
          <w:szCs w:val="20"/>
        </w:rPr>
        <w:t xml:space="preserve"> no</w:t>
      </w:r>
      <w:r>
        <w:rPr>
          <w:rFonts w:hint="default" w:ascii="Calibri" w:hAnsi="Calibri" w:cs="Calibri"/>
          <w:i w:val="0"/>
          <w:iCs w:val="0"/>
          <w:sz w:val="20"/>
          <w:szCs w:val="20"/>
          <w:lang w:val="en-US"/>
        </w:rPr>
        <w:t xml:space="preserve"> experimentally validated </w:t>
      </w:r>
      <w:r>
        <w:rPr>
          <w:rFonts w:hint="default" w:ascii="Calibri" w:hAnsi="Calibri" w:eastAsia="Arial" w:cs="Calibri"/>
          <w:i w:val="0"/>
          <w:iCs w:val="0"/>
          <w:sz w:val="20"/>
          <w:szCs w:val="20"/>
        </w:rPr>
        <w:t xml:space="preserve">active site </w:t>
      </w:r>
      <w:r>
        <w:rPr>
          <w:rFonts w:hint="default" w:ascii="Calibri" w:hAnsi="Calibri" w:cs="Calibri"/>
          <w:i w:val="0"/>
          <w:iCs w:val="0"/>
          <w:sz w:val="20"/>
          <w:szCs w:val="20"/>
          <w:lang w:val="en-US"/>
        </w:rPr>
        <w:t xml:space="preserve">information was available </w:t>
      </w:r>
      <w:r>
        <w:rPr>
          <w:rFonts w:hint="default" w:ascii="Calibri" w:hAnsi="Calibri" w:eastAsia="Arial" w:cs="Calibri"/>
          <w:i w:val="0"/>
          <w:iCs w:val="0"/>
          <w:sz w:val="20"/>
          <w:szCs w:val="20"/>
        </w:rPr>
        <w:t>for 1XQ9,</w:t>
      </w:r>
      <w:r>
        <w:rPr>
          <w:rFonts w:hint="default" w:ascii="Calibri" w:hAnsi="Calibri" w:cs="Calibri"/>
          <w:i w:val="0"/>
          <w:iCs w:val="0"/>
          <w:sz w:val="20"/>
          <w:szCs w:val="20"/>
          <w:lang w:val="en-US"/>
        </w:rPr>
        <w:t xml:space="preserve"> a</w:t>
      </w:r>
      <w:r>
        <w:rPr>
          <w:rFonts w:hint="default" w:ascii="Calibri" w:hAnsi="Calibri" w:eastAsia="Arial" w:cs="Calibri"/>
          <w:i w:val="0"/>
          <w:iCs w:val="0"/>
          <w:sz w:val="20"/>
          <w:szCs w:val="20"/>
        </w:rPr>
        <w:t xml:space="preserve"> BLASTp </w:t>
      </w:r>
      <w:r>
        <w:rPr>
          <w:rFonts w:hint="default" w:ascii="Calibri" w:hAnsi="Calibri" w:cs="Calibri"/>
          <w:i w:val="0"/>
          <w:iCs w:val="0"/>
          <w:sz w:val="20"/>
          <w:szCs w:val="20"/>
          <w:lang w:val="en-US"/>
        </w:rPr>
        <w:t>search was performed against the NCBI database to identify structurally similar proteins</w:t>
      </w:r>
      <w:r>
        <w:rPr>
          <w:rFonts w:hint="default" w:ascii="Calibri" w:hAnsi="Calibri" w:eastAsia="Arial" w:cs="Calibri"/>
          <w:i w:val="0"/>
          <w:iCs w:val="0"/>
          <w:sz w:val="20"/>
          <w:szCs w:val="20"/>
        </w:rPr>
        <w:t xml:space="preserve">. </w:t>
      </w:r>
      <w:r>
        <w:rPr>
          <w:rFonts w:hint="default" w:ascii="Calibri" w:hAnsi="Calibri" w:cs="Calibri"/>
          <w:i w:val="0"/>
          <w:iCs w:val="0"/>
          <w:sz w:val="20"/>
          <w:szCs w:val="20"/>
          <w:lang w:val="en-US"/>
        </w:rPr>
        <w:t>Among t</w:t>
      </w:r>
      <w:r>
        <w:rPr>
          <w:rFonts w:hint="default" w:ascii="Calibri" w:hAnsi="Calibri" w:eastAsia="Arial" w:cs="Calibri"/>
          <w:i w:val="0"/>
          <w:iCs w:val="0"/>
          <w:sz w:val="20"/>
          <w:szCs w:val="20"/>
        </w:rPr>
        <w:t xml:space="preserve">he </w:t>
      </w:r>
      <w:r>
        <w:rPr>
          <w:rFonts w:hint="default" w:ascii="Calibri" w:hAnsi="Calibri" w:cs="Calibri"/>
          <w:i w:val="0"/>
          <w:iCs w:val="0"/>
          <w:sz w:val="20"/>
          <w:szCs w:val="20"/>
          <w:lang w:val="en-US"/>
        </w:rPr>
        <w:t xml:space="preserve">result, </w:t>
      </w:r>
      <w:r>
        <w:rPr>
          <w:rFonts w:hint="default" w:ascii="Calibri" w:hAnsi="Calibri" w:eastAsia="Arial" w:cs="Calibri"/>
          <w:i w:val="0"/>
          <w:iCs w:val="0"/>
          <w:sz w:val="20"/>
          <w:szCs w:val="20"/>
        </w:rPr>
        <w:t>3KKK</w:t>
      </w:r>
      <w:r>
        <w:rPr>
          <w:rFonts w:hint="default" w:ascii="Calibri" w:hAnsi="Calibri" w:cs="Calibri"/>
          <w:i w:val="0"/>
          <w:iCs w:val="0"/>
          <w:sz w:val="20"/>
          <w:szCs w:val="20"/>
          <w:lang w:val="en-US"/>
        </w:rPr>
        <w:t xml:space="preserve"> showed very high sequence similarity</w:t>
      </w:r>
      <w:r>
        <w:rPr>
          <w:rFonts w:hint="default" w:ascii="Calibri" w:hAnsi="Calibri" w:eastAsia="Arial" w:cs="Calibri"/>
          <w:i w:val="0"/>
          <w:iCs w:val="0"/>
          <w:sz w:val="20"/>
          <w:szCs w:val="20"/>
        </w:rPr>
        <w:t xml:space="preserve"> (99% identity, but no literature) and</w:t>
      </w:r>
      <w:r>
        <w:rPr>
          <w:rFonts w:hint="default" w:ascii="Calibri" w:hAnsi="Calibri" w:cs="Calibri"/>
          <w:i w:val="0"/>
          <w:iCs w:val="0"/>
          <w:sz w:val="20"/>
          <w:szCs w:val="20"/>
          <w:lang w:val="en-US"/>
        </w:rPr>
        <w:t xml:space="preserve"> on the other hand</w:t>
      </w:r>
      <w:r>
        <w:rPr>
          <w:rFonts w:hint="default" w:ascii="Calibri" w:hAnsi="Calibri" w:eastAsia="Arial" w:cs="Calibri"/>
          <w:i w:val="0"/>
          <w:iCs w:val="0"/>
          <w:sz w:val="20"/>
          <w:szCs w:val="20"/>
        </w:rPr>
        <w:t xml:space="preserve"> 4ODI </w:t>
      </w:r>
      <w:r>
        <w:rPr>
          <w:rFonts w:hint="default" w:ascii="Calibri" w:hAnsi="Calibri" w:cs="Calibri"/>
          <w:i w:val="0"/>
          <w:iCs w:val="0"/>
          <w:sz w:val="20"/>
          <w:szCs w:val="20"/>
          <w:lang w:val="en-US"/>
        </w:rPr>
        <w:t xml:space="preserve">showed </w:t>
      </w:r>
      <w:r>
        <w:rPr>
          <w:rFonts w:hint="default" w:ascii="Calibri" w:hAnsi="Calibri" w:eastAsia="Arial" w:cs="Calibri"/>
          <w:i w:val="0"/>
          <w:iCs w:val="0"/>
          <w:sz w:val="20"/>
          <w:szCs w:val="20"/>
        </w:rPr>
        <w:t>75% identity, with published active site d</w:t>
      </w:r>
      <w:r>
        <w:rPr>
          <w:rFonts w:hint="default" w:ascii="Calibri" w:hAnsi="Calibri" w:cs="Calibri"/>
          <w:i w:val="0"/>
          <w:iCs w:val="0"/>
          <w:sz w:val="20"/>
          <w:szCs w:val="20"/>
          <w:lang w:val="en-US"/>
        </w:rPr>
        <w:t>etails (</w:t>
      </w:r>
      <w:r>
        <w:rPr>
          <w:rFonts w:hint="default" w:ascii="Calibri" w:hAnsi="Calibri" w:eastAsia="Arial" w:cs="Calibri"/>
          <w:i w:val="0"/>
          <w:iCs w:val="0"/>
          <w:sz w:val="20"/>
          <w:szCs w:val="20"/>
        </w:rPr>
        <w:t>Joseph et al., 2018</w:t>
      </w:r>
      <w:r>
        <w:rPr>
          <w:rFonts w:hint="default" w:ascii="Calibri" w:hAnsi="Calibri" w:cs="Calibri"/>
          <w:i w:val="0"/>
          <w:iCs w:val="0"/>
          <w:sz w:val="20"/>
          <w:szCs w:val="20"/>
          <w:lang w:val="en-US"/>
        </w:rPr>
        <w:t>)</w:t>
      </w:r>
      <w:r>
        <w:rPr>
          <w:rFonts w:hint="default" w:ascii="Calibri" w:hAnsi="Calibri" w:eastAsia="Arial" w:cs="Calibri"/>
          <w:i w:val="0"/>
          <w:iCs w:val="0"/>
          <w:sz w:val="20"/>
          <w:szCs w:val="20"/>
        </w:rPr>
        <w:t xml:space="preserve">. </w:t>
      </w:r>
      <w:r>
        <w:rPr>
          <w:rFonts w:hint="default" w:ascii="Calibri" w:hAnsi="Calibri" w:cs="Calibri"/>
          <w:i w:val="0"/>
          <w:iCs w:val="0"/>
          <w:sz w:val="20"/>
          <w:szCs w:val="20"/>
          <w:lang w:val="en-US"/>
        </w:rPr>
        <w:t xml:space="preserve">Based on the availability of functional data, 4ODi was selected as the reference protein for further analysis. </w:t>
      </w:r>
    </w:p>
    <w:p w14:paraId="1CB4A8CD">
      <w:pPr>
        <w:spacing w:before="100" w:after="40"/>
        <w:jc w:val="center"/>
        <w:rPr>
          <w:rFonts w:hint="default" w:ascii="Calibri" w:hAnsi="Calibri" w:cs="Calibri"/>
          <w:i w:val="0"/>
          <w:iCs w:val="0"/>
          <w:sz w:val="20"/>
          <w:szCs w:val="20"/>
        </w:rPr>
      </w:pPr>
      <w:r>
        <w:rPr>
          <w:rFonts w:hint="default" w:ascii="Calibri" w:hAnsi="Calibri" w:cs="Calibri"/>
          <w:i w:val="0"/>
          <w:iCs w:val="0"/>
          <w:sz w:val="20"/>
          <w:szCs w:val="20"/>
        </w:rPr>
        <w:drawing>
          <wp:inline distT="0" distB="0" distL="0" distR="0">
            <wp:extent cx="4572000" cy="18097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4572000" cy="1809750"/>
                    </a:xfrm>
                    <a:prstGeom prst="rect">
                      <a:avLst/>
                    </a:prstGeom>
                  </pic:spPr>
                </pic:pic>
              </a:graphicData>
            </a:graphic>
          </wp:inline>
        </w:drawing>
      </w:r>
    </w:p>
    <w:p w14:paraId="624CE334">
      <w:pPr>
        <w:spacing w:before="100" w:after="40"/>
        <w:jc w:val="center"/>
        <w:rPr>
          <w:rFonts w:hint="default" w:ascii="Calibri" w:hAnsi="Calibri" w:cs="Calibri"/>
          <w:i w:val="0"/>
          <w:iCs w:val="0"/>
          <w:sz w:val="20"/>
          <w:szCs w:val="20"/>
        </w:rPr>
      </w:pPr>
    </w:p>
    <w:p w14:paraId="6E429834">
      <w:pPr>
        <w:spacing w:before="40" w:after="140"/>
        <w:jc w:val="center"/>
        <w:rPr>
          <w:rFonts w:hint="default" w:ascii="Calibri" w:hAnsi="Calibri" w:eastAsia="Arial" w:cs="Calibri"/>
          <w:i w:val="0"/>
          <w:iCs w:val="0"/>
          <w:color w:val="555555"/>
          <w:sz w:val="20"/>
          <w:szCs w:val="20"/>
        </w:rPr>
      </w:pPr>
      <w:r>
        <w:rPr>
          <w:rFonts w:hint="default" w:ascii="Calibri" w:hAnsi="Calibri" w:eastAsia="Arial" w:cs="Calibri"/>
          <w:i w:val="0"/>
          <w:iCs w:val="0"/>
          <w:color w:val="555555"/>
          <w:sz w:val="20"/>
          <w:szCs w:val="20"/>
        </w:rPr>
        <w:t xml:space="preserve">Figure </w:t>
      </w:r>
      <w:r>
        <w:rPr>
          <w:rFonts w:hint="default" w:ascii="Calibri" w:hAnsi="Calibri" w:cs="Calibri"/>
          <w:i w:val="0"/>
          <w:iCs w:val="0"/>
          <w:color w:val="555555"/>
          <w:sz w:val="20"/>
          <w:szCs w:val="20"/>
          <w:lang w:val="en-US"/>
        </w:rPr>
        <w:t>1</w:t>
      </w:r>
      <w:r>
        <w:rPr>
          <w:rFonts w:hint="default" w:ascii="Calibri" w:hAnsi="Calibri" w:eastAsia="Arial" w:cs="Calibri"/>
          <w:i w:val="0"/>
          <w:iCs w:val="0"/>
          <w:color w:val="555555"/>
          <w:sz w:val="20"/>
          <w:szCs w:val="20"/>
        </w:rPr>
        <w:t>: BLASTp results showing sequence homologs of 1XQ9. 4ODI (75% identity) was selected as the reference protein.</w:t>
      </w:r>
    </w:p>
    <w:p w14:paraId="670C1392">
      <w:pPr>
        <w:spacing w:before="160" w:after="80"/>
        <w:rPr>
          <w:rFonts w:hint="default" w:ascii="Calibri" w:hAnsi="Calibri" w:eastAsia="Arial" w:cs="Calibri"/>
          <w:b w:val="0"/>
          <w:bCs w:val="0"/>
          <w:i/>
          <w:iCs/>
          <w:color w:val="333333"/>
          <w:sz w:val="20"/>
          <w:szCs w:val="20"/>
          <w:u w:val="single"/>
        </w:rPr>
      </w:pPr>
    </w:p>
    <w:p w14:paraId="46A38AAC">
      <w:pPr>
        <w:spacing w:before="160" w:after="80"/>
        <w:rPr>
          <w:rFonts w:hint="default" w:ascii="Calibri" w:hAnsi="Calibri" w:eastAsia="Arial" w:cs="Calibri"/>
          <w:b w:val="0"/>
          <w:bCs w:val="0"/>
          <w:i/>
          <w:iCs/>
          <w:color w:val="333333"/>
          <w:sz w:val="20"/>
          <w:szCs w:val="20"/>
          <w:u w:val="single"/>
        </w:rPr>
      </w:pPr>
      <w:r>
        <w:rPr>
          <w:rFonts w:hint="default" w:ascii="Calibri" w:hAnsi="Calibri" w:eastAsia="Arial" w:cs="Calibri"/>
          <w:b w:val="0"/>
          <w:bCs w:val="0"/>
          <w:i/>
          <w:iCs/>
          <w:color w:val="333333"/>
          <w:sz w:val="20"/>
          <w:szCs w:val="20"/>
          <w:u w:val="single"/>
        </w:rPr>
        <w:t>Step 3: Protein Preparation in PyMOL</w:t>
      </w:r>
    </w:p>
    <w:p w14:paraId="76364646">
      <w:pPr>
        <w:spacing w:before="160" w:after="80"/>
        <w:rPr>
          <w:rFonts w:hint="default" w:ascii="Calibri" w:hAnsi="Calibri" w:cs="Calibri"/>
          <w:i w:val="0"/>
          <w:iCs w:val="0"/>
          <w:sz w:val="20"/>
          <w:szCs w:val="20"/>
          <w:lang w:val="en-US"/>
        </w:rPr>
      </w:pPr>
      <w:r>
        <w:rPr>
          <w:rFonts w:hint="default" w:ascii="Calibri" w:hAnsi="Calibri" w:eastAsia="Arial" w:cs="Calibri"/>
          <w:i w:val="0"/>
          <w:iCs w:val="0"/>
          <w:sz w:val="20"/>
          <w:szCs w:val="20"/>
        </w:rPr>
        <w:t xml:space="preserve">Both </w:t>
      </w:r>
      <w:r>
        <w:rPr>
          <w:rFonts w:hint="default" w:ascii="Calibri" w:hAnsi="Calibri" w:cs="Calibri"/>
          <w:i w:val="0"/>
          <w:iCs w:val="0"/>
          <w:sz w:val="20"/>
          <w:szCs w:val="20"/>
          <w:lang w:val="en-US"/>
        </w:rPr>
        <w:t>1XQ9 and 4ODI structures were prepared using</w:t>
      </w:r>
      <w:r>
        <w:rPr>
          <w:rFonts w:hint="default" w:ascii="Calibri" w:hAnsi="Calibri" w:eastAsia="Arial" w:cs="Calibri"/>
          <w:i w:val="0"/>
          <w:iCs w:val="0"/>
          <w:sz w:val="20"/>
          <w:szCs w:val="20"/>
        </w:rPr>
        <w:t xml:space="preserve"> PyMOL. For 1XQ9, </w:t>
      </w:r>
      <w:r>
        <w:rPr>
          <w:rFonts w:hint="default" w:ascii="Calibri" w:hAnsi="Calibri" w:cs="Calibri"/>
          <w:i w:val="0"/>
          <w:iCs w:val="0"/>
          <w:sz w:val="20"/>
          <w:szCs w:val="20"/>
          <w:lang w:val="en-US"/>
        </w:rPr>
        <w:t>Only Chain A was retained, while Chain B was</w:t>
      </w:r>
      <w:r>
        <w:rPr>
          <w:rFonts w:hint="default" w:ascii="Calibri" w:hAnsi="Calibri" w:eastAsia="Arial" w:cs="Calibri"/>
          <w:i w:val="0"/>
          <w:iCs w:val="0"/>
          <w:sz w:val="20"/>
          <w:szCs w:val="20"/>
        </w:rPr>
        <w:t xml:space="preserve"> removed</w:t>
      </w:r>
      <w:r>
        <w:rPr>
          <w:rFonts w:hint="default" w:ascii="Calibri" w:hAnsi="Calibri" w:cs="Calibri"/>
          <w:i w:val="0"/>
          <w:iCs w:val="0"/>
          <w:sz w:val="20"/>
          <w:szCs w:val="20"/>
          <w:lang w:val="en-US"/>
        </w:rPr>
        <w:t>.</w:t>
      </w:r>
      <w:r>
        <w:rPr>
          <w:rFonts w:hint="default" w:ascii="Calibri" w:hAnsi="Calibri" w:eastAsia="Arial" w:cs="Calibri"/>
          <w:i w:val="0"/>
          <w:iCs w:val="0"/>
          <w:sz w:val="20"/>
          <w:szCs w:val="20"/>
        </w:rPr>
        <w:t xml:space="preserve"> </w:t>
      </w:r>
      <w:r>
        <w:rPr>
          <w:rFonts w:hint="default" w:ascii="Calibri" w:hAnsi="Calibri" w:cs="Calibri"/>
          <w:i w:val="0"/>
          <w:iCs w:val="0"/>
          <w:sz w:val="20"/>
          <w:szCs w:val="20"/>
          <w:lang w:val="en-US"/>
        </w:rPr>
        <w:t>Similarly for</w:t>
      </w:r>
      <w:r>
        <w:rPr>
          <w:rFonts w:hint="default" w:ascii="Calibri" w:hAnsi="Calibri" w:eastAsia="Arial" w:cs="Calibri"/>
          <w:i w:val="0"/>
          <w:iCs w:val="0"/>
          <w:sz w:val="20"/>
          <w:szCs w:val="20"/>
        </w:rPr>
        <w:t xml:space="preserve"> 4ODI, Chains B, C, and D were </w:t>
      </w:r>
      <w:r>
        <w:rPr>
          <w:rFonts w:hint="default" w:ascii="Calibri" w:hAnsi="Calibri" w:cs="Calibri"/>
          <w:i w:val="0"/>
          <w:iCs w:val="0"/>
          <w:sz w:val="20"/>
          <w:szCs w:val="20"/>
          <w:lang w:val="en-US"/>
        </w:rPr>
        <w:t>deleted, leaving Chain A for consistency.</w:t>
      </w:r>
      <w:r>
        <w:rPr>
          <w:rFonts w:hint="default" w:ascii="Calibri" w:hAnsi="Calibri" w:eastAsia="Arial" w:cs="Calibri"/>
          <w:i w:val="0"/>
          <w:iCs w:val="0"/>
          <w:sz w:val="20"/>
          <w:szCs w:val="20"/>
        </w:rPr>
        <w:t xml:space="preserve"> </w:t>
      </w:r>
      <w:r>
        <w:rPr>
          <w:rFonts w:hint="default" w:ascii="Calibri" w:hAnsi="Calibri" w:cs="Calibri"/>
          <w:i w:val="0"/>
          <w:iCs w:val="0"/>
          <w:sz w:val="20"/>
          <w:szCs w:val="20"/>
          <w:lang w:val="en-US"/>
        </w:rPr>
        <w:t>All w</w:t>
      </w:r>
      <w:r>
        <w:rPr>
          <w:rFonts w:hint="default" w:ascii="Calibri" w:hAnsi="Calibri" w:eastAsia="Arial" w:cs="Calibri"/>
          <w:i w:val="0"/>
          <w:iCs w:val="0"/>
          <w:sz w:val="20"/>
          <w:szCs w:val="20"/>
        </w:rPr>
        <w:t xml:space="preserve">ater molecules and </w:t>
      </w:r>
      <w:r>
        <w:rPr>
          <w:rFonts w:hint="default" w:ascii="Calibri" w:hAnsi="Calibri" w:cs="Calibri"/>
          <w:i w:val="0"/>
          <w:iCs w:val="0"/>
          <w:sz w:val="20"/>
          <w:szCs w:val="20"/>
          <w:lang w:val="en-US"/>
        </w:rPr>
        <w:t>non-essential</w:t>
      </w:r>
      <w:r>
        <w:rPr>
          <w:rFonts w:hint="default" w:ascii="Calibri" w:hAnsi="Calibri" w:eastAsia="Arial" w:cs="Calibri"/>
          <w:i w:val="0"/>
          <w:iCs w:val="0"/>
          <w:sz w:val="20"/>
          <w:szCs w:val="20"/>
        </w:rPr>
        <w:t xml:space="preserve"> atoms were </w:t>
      </w:r>
      <w:r>
        <w:rPr>
          <w:rFonts w:hint="default" w:ascii="Calibri" w:hAnsi="Calibri" w:cs="Calibri"/>
          <w:i w:val="0"/>
          <w:iCs w:val="0"/>
          <w:sz w:val="20"/>
          <w:szCs w:val="20"/>
          <w:lang w:val="en-US"/>
        </w:rPr>
        <w:t>removed</w:t>
      </w:r>
      <w:r>
        <w:rPr>
          <w:rFonts w:hint="default" w:ascii="Calibri" w:hAnsi="Calibri" w:eastAsia="Arial" w:cs="Calibri"/>
          <w:i w:val="0"/>
          <w:iCs w:val="0"/>
          <w:sz w:val="20"/>
          <w:szCs w:val="20"/>
        </w:rPr>
        <w:t>,</w:t>
      </w:r>
      <w:r>
        <w:rPr>
          <w:rFonts w:hint="default" w:ascii="Calibri" w:hAnsi="Calibri" w:cs="Calibri"/>
          <w:i w:val="0"/>
          <w:iCs w:val="0"/>
          <w:sz w:val="20"/>
          <w:szCs w:val="20"/>
          <w:lang w:val="en-US"/>
        </w:rPr>
        <w:t xml:space="preserve"> </w:t>
      </w:r>
      <w:r>
        <w:rPr>
          <w:rFonts w:hint="default" w:ascii="Calibri" w:hAnsi="Calibri" w:eastAsia="Arial" w:cs="Calibri"/>
          <w:i w:val="0"/>
          <w:iCs w:val="0"/>
          <w:sz w:val="20"/>
          <w:szCs w:val="20"/>
        </w:rPr>
        <w:t xml:space="preserve">and hydrogen atoms were added </w:t>
      </w:r>
      <w:r>
        <w:rPr>
          <w:rFonts w:hint="default" w:ascii="Calibri" w:hAnsi="Calibri" w:cs="Calibri"/>
          <w:i w:val="0"/>
          <w:iCs w:val="0"/>
          <w:sz w:val="20"/>
          <w:szCs w:val="20"/>
          <w:lang w:val="en-US"/>
        </w:rPr>
        <w:t>to stabilize the structures for subsequent steps.</w:t>
      </w:r>
    </w:p>
    <w:p w14:paraId="342211F7">
      <w:pPr>
        <w:spacing w:before="100" w:after="40"/>
        <w:jc w:val="both"/>
        <w:rPr>
          <w:rFonts w:hint="default" w:ascii="Calibri" w:hAnsi="Calibri" w:cs="Calibri"/>
          <w:i w:val="0"/>
          <w:iCs w:val="0"/>
          <w:sz w:val="20"/>
          <w:szCs w:val="20"/>
          <w:lang w:val="en-US"/>
        </w:rPr>
      </w:pPr>
      <w:r>
        <w:rPr>
          <w:rFonts w:hint="default" w:ascii="Calibri" w:hAnsi="Calibri" w:cs="Calibri"/>
          <w:i w:val="0"/>
          <w:iCs w:val="0"/>
          <w:sz w:val="20"/>
          <w:szCs w:val="20"/>
        </w:rPr>
        <w:drawing>
          <wp:inline distT="0" distB="0" distL="0" distR="0">
            <wp:extent cx="2603500" cy="1766570"/>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2603500" cy="1766570"/>
                    </a:xfrm>
                    <a:prstGeom prst="rect">
                      <a:avLst/>
                    </a:prstGeom>
                  </pic:spPr>
                </pic:pic>
              </a:graphicData>
            </a:graphic>
          </wp:inline>
        </w:drawing>
      </w:r>
      <w:r>
        <w:rPr>
          <w:rFonts w:hint="default" w:ascii="Calibri" w:hAnsi="Calibri" w:cs="Calibri"/>
          <w:i w:val="0"/>
          <w:iCs w:val="0"/>
          <w:sz w:val="20"/>
          <w:szCs w:val="20"/>
          <w:lang w:val="en-US"/>
        </w:rPr>
        <w:t xml:space="preserve"> </w:t>
      </w:r>
      <w:r>
        <w:rPr>
          <w:rFonts w:hint="default" w:ascii="Calibri" w:hAnsi="Calibri" w:cs="Calibri"/>
          <w:i w:val="0"/>
          <w:iCs w:val="0"/>
          <w:sz w:val="20"/>
          <w:szCs w:val="20"/>
        </w:rPr>
        <w:drawing>
          <wp:inline distT="0" distB="0" distL="0" distR="0">
            <wp:extent cx="2417445" cy="1791970"/>
            <wp:effectExtent l="0" t="0" r="8255"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2417445" cy="1791970"/>
                    </a:xfrm>
                    <a:prstGeom prst="rect">
                      <a:avLst/>
                    </a:prstGeom>
                  </pic:spPr>
                </pic:pic>
              </a:graphicData>
            </a:graphic>
          </wp:inline>
        </w:drawing>
      </w:r>
    </w:p>
    <w:p w14:paraId="050ADD5F">
      <w:pPr>
        <w:spacing w:before="40" w:after="140"/>
        <w:jc w:val="center"/>
        <w:rPr>
          <w:rFonts w:hint="default" w:ascii="Calibri" w:hAnsi="Calibri" w:eastAsia="Arial" w:cs="Calibri"/>
          <w:i w:val="0"/>
          <w:iCs w:val="0"/>
          <w:color w:val="555555"/>
          <w:sz w:val="20"/>
          <w:szCs w:val="20"/>
        </w:rPr>
      </w:pPr>
      <w:r>
        <w:rPr>
          <w:rFonts w:hint="default" w:ascii="Calibri" w:hAnsi="Calibri" w:eastAsia="Arial" w:cs="Calibri"/>
          <w:i w:val="0"/>
          <w:iCs w:val="0"/>
          <w:color w:val="555555"/>
          <w:sz w:val="20"/>
          <w:szCs w:val="20"/>
        </w:rPr>
        <w:t xml:space="preserve">Figure </w:t>
      </w:r>
      <w:r>
        <w:rPr>
          <w:rFonts w:hint="default" w:ascii="Calibri" w:hAnsi="Calibri" w:cs="Calibri"/>
          <w:i w:val="0"/>
          <w:iCs w:val="0"/>
          <w:color w:val="555555"/>
          <w:sz w:val="20"/>
          <w:szCs w:val="20"/>
          <w:lang w:val="en-US"/>
        </w:rPr>
        <w:t>2</w:t>
      </w:r>
      <w:r>
        <w:rPr>
          <w:rFonts w:hint="default" w:ascii="Calibri" w:hAnsi="Calibri" w:eastAsia="Arial" w:cs="Calibri"/>
          <w:i w:val="0"/>
          <w:iCs w:val="0"/>
          <w:color w:val="555555"/>
          <w:sz w:val="20"/>
          <w:szCs w:val="20"/>
        </w:rPr>
        <w:t>:</w:t>
      </w:r>
      <w:r>
        <w:rPr>
          <w:rFonts w:hint="default" w:ascii="Calibri" w:hAnsi="Calibri" w:cs="Calibri"/>
          <w:i w:val="0"/>
          <w:iCs w:val="0"/>
          <w:color w:val="555555"/>
          <w:sz w:val="20"/>
          <w:szCs w:val="20"/>
          <w:lang w:val="en-US"/>
        </w:rPr>
        <w:t xml:space="preserve"> (a)</w:t>
      </w:r>
      <w:r>
        <w:rPr>
          <w:rFonts w:hint="default" w:ascii="Calibri" w:hAnsi="Calibri" w:eastAsia="Arial" w:cs="Calibri"/>
          <w:i w:val="0"/>
          <w:iCs w:val="0"/>
          <w:color w:val="555555"/>
          <w:sz w:val="20"/>
          <w:szCs w:val="20"/>
        </w:rPr>
        <w:t xml:space="preserve"> 1XQ9 (Chain A only) loaded and prepared in PyMOL.</w:t>
      </w:r>
      <w:r>
        <w:rPr>
          <w:rFonts w:hint="default" w:ascii="Calibri" w:hAnsi="Calibri" w:cs="Calibri"/>
          <w:i w:val="0"/>
          <w:iCs w:val="0"/>
          <w:color w:val="555555"/>
          <w:sz w:val="20"/>
          <w:szCs w:val="20"/>
          <w:lang w:val="en-US"/>
        </w:rPr>
        <w:t xml:space="preserve"> (b)</w:t>
      </w:r>
      <w:r>
        <w:rPr>
          <w:rFonts w:hint="default" w:ascii="Calibri" w:hAnsi="Calibri" w:eastAsia="Arial" w:cs="Calibri"/>
          <w:i w:val="0"/>
          <w:iCs w:val="0"/>
          <w:color w:val="555555"/>
          <w:sz w:val="20"/>
          <w:szCs w:val="20"/>
        </w:rPr>
        <w:t xml:space="preserve"> 4ODI (Chain A only) loaded and prepared in PyMOL.</w:t>
      </w:r>
    </w:p>
    <w:p w14:paraId="7081FDF5">
      <w:pPr>
        <w:spacing w:before="40" w:after="140"/>
        <w:jc w:val="left"/>
        <w:rPr>
          <w:rFonts w:hint="default" w:ascii="Calibri" w:hAnsi="Calibri" w:cs="Calibri"/>
          <w:b w:val="0"/>
          <w:bCs w:val="0"/>
          <w:i/>
          <w:iCs/>
          <w:sz w:val="20"/>
          <w:szCs w:val="20"/>
          <w:u w:val="single"/>
        </w:rPr>
      </w:pPr>
      <w:r>
        <w:rPr>
          <w:rFonts w:hint="default" w:ascii="Calibri" w:hAnsi="Calibri" w:eastAsia="Arial" w:cs="Calibri"/>
          <w:b w:val="0"/>
          <w:bCs w:val="0"/>
          <w:i/>
          <w:iCs/>
          <w:color w:val="333333"/>
          <w:sz w:val="20"/>
          <w:szCs w:val="20"/>
          <w:u w:val="single"/>
        </w:rPr>
        <w:t>Step 4: Active Site Prediction using Schrodinger SiteMap</w:t>
      </w:r>
    </w:p>
    <w:p w14:paraId="3B9253BB">
      <w:pPr>
        <w:spacing w:before="80" w:after="80" w:line="276" w:lineRule="auto"/>
        <w:jc w:val="both"/>
        <w:rPr>
          <w:rFonts w:hint="default" w:ascii="Calibri" w:hAnsi="Calibri" w:cs="Calibri"/>
          <w:i w:val="0"/>
          <w:iCs w:val="0"/>
          <w:sz w:val="20"/>
          <w:szCs w:val="20"/>
          <w:lang w:val="en-US"/>
        </w:rPr>
      </w:pPr>
      <w:r>
        <w:rPr>
          <w:rFonts w:hint="default" w:ascii="Calibri" w:hAnsi="Calibri" w:cs="Calibri"/>
          <w:i w:val="0"/>
          <w:iCs w:val="0"/>
          <w:sz w:val="20"/>
          <w:szCs w:val="20"/>
          <w:lang w:val="en-US"/>
        </w:rPr>
        <w:t>The prepared structure of 1XQ9 was analyzed using the SiteMap tool from the Schrodinger suite to identify potential ligand-binding pockets. Each predicted site was evaluated based on parameters such as Site Score and Druggability Score (Dscore), where values above 1.0 generally indicate favourable binding regions. Among the predicted sites, the pocket labeled sitemap_2_site_1 showed the highest suitability, with a Site Score of 1.07 and a Dscore of 0.902. This pocket was selected for further investigation.</w:t>
      </w:r>
    </w:p>
    <w:p w14:paraId="505B424D">
      <w:pPr>
        <w:spacing w:before="80" w:after="80" w:line="276" w:lineRule="auto"/>
        <w:jc w:val="both"/>
        <w:rPr>
          <w:rFonts w:hint="default" w:ascii="Calibri" w:hAnsi="Calibri" w:cs="Calibri"/>
          <w:i w:val="0"/>
          <w:iCs w:val="0"/>
          <w:sz w:val="20"/>
          <w:szCs w:val="20"/>
          <w:lang w:val="en-US"/>
        </w:rPr>
      </w:pPr>
    </w:p>
    <w:p w14:paraId="7660C4F3">
      <w:pPr>
        <w:spacing w:before="100" w:after="40"/>
        <w:jc w:val="center"/>
        <w:rPr>
          <w:rFonts w:hint="default" w:ascii="Calibri" w:hAnsi="Calibri" w:cs="Calibri"/>
          <w:i w:val="0"/>
          <w:iCs w:val="0"/>
          <w:sz w:val="20"/>
          <w:szCs w:val="20"/>
        </w:rPr>
      </w:pPr>
      <w:r>
        <w:rPr>
          <w:rFonts w:hint="default" w:ascii="Calibri" w:hAnsi="Calibri" w:cs="Calibri"/>
          <w:i w:val="0"/>
          <w:iCs w:val="0"/>
          <w:sz w:val="20"/>
          <w:szCs w:val="20"/>
        </w:rPr>
        <w:drawing>
          <wp:inline distT="0" distB="0" distL="0" distR="0">
            <wp:extent cx="4762500"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rcRect/>
                    <a:stretch>
                      <a:fillRect/>
                    </a:stretch>
                  </pic:blipFill>
                  <pic:spPr>
                    <a:xfrm>
                      <a:off x="0" y="0"/>
                      <a:ext cx="4762500" cy="1524000"/>
                    </a:xfrm>
                    <a:prstGeom prst="rect">
                      <a:avLst/>
                    </a:prstGeom>
                  </pic:spPr>
                </pic:pic>
              </a:graphicData>
            </a:graphic>
          </wp:inline>
        </w:drawing>
      </w:r>
    </w:p>
    <w:p w14:paraId="75101842">
      <w:pPr>
        <w:spacing w:before="40" w:after="140"/>
        <w:jc w:val="center"/>
        <w:rPr>
          <w:rFonts w:hint="default" w:ascii="Calibri" w:hAnsi="Calibri" w:cs="Calibri"/>
          <w:i w:val="0"/>
          <w:iCs w:val="0"/>
          <w:sz w:val="20"/>
          <w:szCs w:val="20"/>
        </w:rPr>
      </w:pPr>
      <w:r>
        <w:rPr>
          <w:rFonts w:hint="default" w:ascii="Calibri" w:hAnsi="Calibri" w:eastAsia="Arial" w:cs="Calibri"/>
          <w:i w:val="0"/>
          <w:iCs w:val="0"/>
          <w:color w:val="555555"/>
          <w:sz w:val="20"/>
          <w:szCs w:val="20"/>
        </w:rPr>
        <w:t xml:space="preserve">Figure </w:t>
      </w:r>
      <w:r>
        <w:rPr>
          <w:rFonts w:hint="default" w:ascii="Calibri" w:hAnsi="Calibri" w:cs="Calibri"/>
          <w:i w:val="0"/>
          <w:iCs w:val="0"/>
          <w:color w:val="555555"/>
          <w:sz w:val="20"/>
          <w:szCs w:val="20"/>
          <w:lang w:val="en-US"/>
        </w:rPr>
        <w:t>3</w:t>
      </w:r>
      <w:r>
        <w:rPr>
          <w:rFonts w:hint="default" w:ascii="Calibri" w:hAnsi="Calibri" w:eastAsia="Arial" w:cs="Calibri"/>
          <w:i w:val="0"/>
          <w:iCs w:val="0"/>
          <w:color w:val="555555"/>
          <w:sz w:val="20"/>
          <w:szCs w:val="20"/>
        </w:rPr>
        <w:t>: SiteMap results for 1XQ9 showing three predicted pockets. Site 1 (score 1.07) was selected as the best binding site.</w:t>
      </w:r>
    </w:p>
    <w:p w14:paraId="25A4F403">
      <w:pPr>
        <w:spacing w:before="160" w:after="80"/>
        <w:rPr>
          <w:rFonts w:hint="default" w:ascii="Calibri" w:hAnsi="Calibri" w:cs="Calibri"/>
          <w:b w:val="0"/>
          <w:bCs w:val="0"/>
          <w:i/>
          <w:iCs/>
          <w:sz w:val="20"/>
          <w:szCs w:val="20"/>
          <w:u w:val="single"/>
        </w:rPr>
      </w:pPr>
      <w:r>
        <w:rPr>
          <w:rFonts w:hint="default" w:ascii="Calibri" w:hAnsi="Calibri" w:eastAsia="Arial" w:cs="Calibri"/>
          <w:b w:val="0"/>
          <w:bCs w:val="0"/>
          <w:i/>
          <w:iCs/>
          <w:color w:val="333333"/>
          <w:sz w:val="20"/>
          <w:szCs w:val="20"/>
          <w:u w:val="single"/>
        </w:rPr>
        <w:t>Step 5: Structural Alignment using UCSF Chimera</w:t>
      </w:r>
    </w:p>
    <w:p w14:paraId="7F6409FE">
      <w:pPr>
        <w:spacing w:before="80" w:after="80" w:line="276" w:lineRule="auto"/>
        <w:jc w:val="both"/>
        <w:rPr>
          <w:rFonts w:hint="default" w:ascii="Calibri" w:hAnsi="Calibri" w:cs="Calibri"/>
          <w:i w:val="0"/>
          <w:iCs w:val="0"/>
          <w:sz w:val="20"/>
          <w:szCs w:val="20"/>
          <w:lang w:val="en-US"/>
        </w:rPr>
      </w:pPr>
      <w:r>
        <w:rPr>
          <w:rFonts w:hint="default" w:ascii="Calibri" w:hAnsi="Calibri" w:cs="Calibri"/>
          <w:i w:val="0"/>
          <w:iCs w:val="0"/>
          <w:sz w:val="20"/>
          <w:szCs w:val="20"/>
          <w:lang w:val="en-US"/>
        </w:rPr>
        <w:t>To transfer active site information, structural alignment between 1XQ9 and 4ODI was carried out using the MatchMaker tool in UCSF Chimera. The known active site residues of 4ODI (R25, H26, N32, T38, E104, Y107, H199, N201) were mapped onto the aligned positions in 1XQ9. The corresponding residues identified in 1XQ9 were Arg18, His19, Asn25, Thr31, Glu97, Tyr100, His192, and Asn194.</w:t>
      </w:r>
    </w:p>
    <w:p w14:paraId="5BBD59AC">
      <w:pPr>
        <w:spacing w:before="80" w:after="80" w:line="276" w:lineRule="auto"/>
        <w:jc w:val="both"/>
        <w:rPr>
          <w:rFonts w:hint="default" w:ascii="Calibri" w:hAnsi="Calibri" w:cs="Calibri"/>
          <w:i w:val="0"/>
          <w:iCs w:val="0"/>
          <w:sz w:val="20"/>
          <w:szCs w:val="20"/>
          <w:lang w:val="en-US"/>
        </w:rPr>
      </w:pPr>
      <w:r>
        <w:rPr>
          <w:rFonts w:hint="default" w:ascii="Calibri" w:hAnsi="Calibri" w:cs="Calibri"/>
          <w:i w:val="0"/>
          <w:iCs w:val="0"/>
          <w:sz w:val="20"/>
          <w:szCs w:val="20"/>
          <w:lang w:val="en-US"/>
        </w:rPr>
        <w:t>Further validation using SiteMap revealed that seven out of these eight residues were located within the predicted binding pocket, while Glu97 was not part of the selected site. Based on this combined analysis, the final set of active site residues for 1XQ9 was identified as: Arg18, His19, Asn25, Thr31, Tyr100, His192 and Asn194.</w:t>
      </w:r>
    </w:p>
    <w:p w14:paraId="238AD1E3">
      <w:pPr>
        <w:spacing w:before="80" w:after="80" w:line="276" w:lineRule="auto"/>
        <w:jc w:val="center"/>
        <w:rPr>
          <w:rFonts w:hint="default" w:ascii="Calibri" w:hAnsi="Calibri" w:cs="Calibri"/>
          <w:i w:val="0"/>
          <w:iCs w:val="0"/>
          <w:sz w:val="20"/>
          <w:szCs w:val="20"/>
        </w:rPr>
      </w:pPr>
      <w:r>
        <w:rPr>
          <w:rFonts w:hint="default" w:ascii="Calibri" w:hAnsi="Calibri" w:cs="Calibri"/>
          <w:i w:val="0"/>
          <w:iCs w:val="0"/>
          <w:sz w:val="20"/>
          <w:szCs w:val="20"/>
        </w:rPr>
        <w:drawing>
          <wp:inline distT="0" distB="0" distL="0" distR="0">
            <wp:extent cx="2901950" cy="1540510"/>
            <wp:effectExtent l="0" t="0" r="635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2901950" cy="1540510"/>
                    </a:xfrm>
                    <a:prstGeom prst="rect">
                      <a:avLst/>
                    </a:prstGeom>
                  </pic:spPr>
                </pic:pic>
              </a:graphicData>
            </a:graphic>
          </wp:inline>
        </w:drawing>
      </w:r>
    </w:p>
    <w:p w14:paraId="595CDCDF">
      <w:pPr>
        <w:spacing w:before="40" w:after="140"/>
        <w:jc w:val="center"/>
        <w:rPr>
          <w:rFonts w:hint="default" w:ascii="Calibri" w:hAnsi="Calibri" w:cs="Calibri"/>
          <w:i w:val="0"/>
          <w:iCs w:val="0"/>
          <w:sz w:val="20"/>
          <w:szCs w:val="20"/>
        </w:rPr>
      </w:pPr>
      <w:r>
        <w:rPr>
          <w:rFonts w:hint="default" w:ascii="Calibri" w:hAnsi="Calibri" w:eastAsia="Arial" w:cs="Calibri"/>
          <w:i w:val="0"/>
          <w:iCs w:val="0"/>
          <w:color w:val="555555"/>
          <w:sz w:val="20"/>
          <w:szCs w:val="20"/>
        </w:rPr>
        <w:t xml:space="preserve">Figure </w:t>
      </w:r>
      <w:r>
        <w:rPr>
          <w:rFonts w:hint="default" w:ascii="Calibri" w:hAnsi="Calibri" w:cs="Calibri"/>
          <w:i w:val="0"/>
          <w:iCs w:val="0"/>
          <w:color w:val="555555"/>
          <w:sz w:val="20"/>
          <w:szCs w:val="20"/>
          <w:lang w:val="en-US"/>
        </w:rPr>
        <w:t>4</w:t>
      </w:r>
      <w:r>
        <w:rPr>
          <w:rFonts w:hint="default" w:ascii="Calibri" w:hAnsi="Calibri" w:eastAsia="Arial" w:cs="Calibri"/>
          <w:i w:val="0"/>
          <w:iCs w:val="0"/>
          <w:color w:val="555555"/>
          <w:sz w:val="20"/>
          <w:szCs w:val="20"/>
        </w:rPr>
        <w:t>: Structural alignment of 1XQ9 (blue) and 4ODI (tan) in UCSF Chimera showing conserved fold.</w:t>
      </w:r>
    </w:p>
    <w:p w14:paraId="336F1FED">
      <w:pPr>
        <w:spacing w:before="100" w:after="40"/>
        <w:jc w:val="center"/>
        <w:rPr>
          <w:rFonts w:hint="default" w:ascii="Calibri" w:hAnsi="Calibri" w:cs="Calibri"/>
          <w:i w:val="0"/>
          <w:iCs w:val="0"/>
          <w:sz w:val="20"/>
          <w:szCs w:val="20"/>
        </w:rPr>
      </w:pPr>
      <w:r>
        <w:rPr>
          <w:rFonts w:hint="default" w:ascii="Calibri" w:hAnsi="Calibri" w:cs="Calibri"/>
          <w:i w:val="0"/>
          <w:iCs w:val="0"/>
          <w:sz w:val="20"/>
          <w:szCs w:val="20"/>
        </w:rPr>
        <w:drawing>
          <wp:inline distT="0" distB="0" distL="0" distR="0">
            <wp:extent cx="4762500" cy="12007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b="36967"/>
                    <a:stretch>
                      <a:fillRect/>
                    </a:stretch>
                  </pic:blipFill>
                  <pic:spPr>
                    <a:xfrm>
                      <a:off x="0" y="0"/>
                      <a:ext cx="4762500" cy="1200785"/>
                    </a:xfrm>
                    <a:prstGeom prst="rect">
                      <a:avLst/>
                    </a:prstGeom>
                  </pic:spPr>
                </pic:pic>
              </a:graphicData>
            </a:graphic>
          </wp:inline>
        </w:drawing>
      </w:r>
    </w:p>
    <w:p w14:paraId="6FAEC022">
      <w:pPr>
        <w:spacing w:before="40" w:after="140"/>
        <w:jc w:val="center"/>
        <w:rPr>
          <w:rFonts w:hint="default" w:ascii="Calibri" w:hAnsi="Calibri" w:eastAsia="Arial" w:cs="Calibri"/>
          <w:b/>
          <w:bCs/>
          <w:i w:val="0"/>
          <w:iCs w:val="0"/>
          <w:color w:val="1F3A6B"/>
          <w:sz w:val="20"/>
          <w:szCs w:val="20"/>
        </w:rPr>
      </w:pPr>
      <w:r>
        <w:rPr>
          <w:rFonts w:hint="default" w:ascii="Calibri" w:hAnsi="Calibri" w:eastAsia="Arial" w:cs="Calibri"/>
          <w:i w:val="0"/>
          <w:iCs w:val="0"/>
          <w:color w:val="555555"/>
          <w:sz w:val="20"/>
          <w:szCs w:val="20"/>
        </w:rPr>
        <w:t xml:space="preserve">Figure </w:t>
      </w:r>
      <w:r>
        <w:rPr>
          <w:rFonts w:hint="default" w:ascii="Calibri" w:hAnsi="Calibri" w:cs="Calibri"/>
          <w:i w:val="0"/>
          <w:iCs w:val="0"/>
          <w:color w:val="555555"/>
          <w:sz w:val="20"/>
          <w:szCs w:val="20"/>
          <w:lang w:val="en-US"/>
        </w:rPr>
        <w:t>5</w:t>
      </w:r>
      <w:r>
        <w:rPr>
          <w:rFonts w:hint="default" w:ascii="Calibri" w:hAnsi="Calibri" w:eastAsia="Arial" w:cs="Calibri"/>
          <w:i w:val="0"/>
          <w:iCs w:val="0"/>
          <w:color w:val="555555"/>
          <w:sz w:val="20"/>
          <w:szCs w:val="20"/>
        </w:rPr>
        <w:t>: Sequence alignment output from UCSF Chimera showing conserved residues between 1XQ9 and 4ODI.</w:t>
      </w:r>
    </w:p>
    <w:p w14:paraId="4ACD4AD1">
      <w:pPr>
        <w:numPr>
          <w:ilvl w:val="0"/>
          <w:numId w:val="0"/>
        </w:numPr>
        <w:ind w:leftChars="0"/>
        <w:jc w:val="left"/>
        <w:rPr>
          <w:rFonts w:hint="default" w:ascii="Calibri" w:hAnsi="Calibri" w:eastAsia="Times New Roman" w:cs="Calibri"/>
          <w:i w:val="0"/>
          <w:iCs w:val="0"/>
          <w:kern w:val="22"/>
          <w:lang w:val="en-US" w:eastAsia="en-GB"/>
        </w:rPr>
      </w:pPr>
      <w:r>
        <w:rPr>
          <w:rFonts w:hint="default" w:ascii="Calibri" w:hAnsi="Calibri" w:eastAsia="Times New Roman" w:cs="Calibri"/>
          <w:i w:val="0"/>
          <w:iCs w:val="0"/>
          <w:kern w:val="22"/>
          <w:lang w:val="en-US" w:eastAsia="en-GB"/>
        </w:rPr>
        <w:t xml:space="preserve"> </w:t>
      </w:r>
    </w:p>
    <w:p w14:paraId="5FDE9B78">
      <w:pPr>
        <w:numPr>
          <w:ilvl w:val="0"/>
          <w:numId w:val="0"/>
        </w:numPr>
        <w:ind w:leftChars="0"/>
        <w:jc w:val="left"/>
        <w:rPr>
          <w:rFonts w:hint="default" w:ascii="Calibri" w:hAnsi="Calibri" w:eastAsia="Times New Roman" w:cs="Calibri"/>
          <w:b/>
          <w:bCs/>
          <w:i w:val="0"/>
          <w:iCs w:val="0"/>
          <w:kern w:val="22"/>
          <w:lang w:val="en-US" w:eastAsia="en-GB"/>
        </w:rPr>
      </w:pPr>
      <w:r>
        <w:rPr>
          <w:rFonts w:hint="default" w:ascii="Calibri" w:hAnsi="Calibri" w:eastAsia="Times New Roman" w:cs="Calibri"/>
          <w:b/>
          <w:bCs/>
          <w:i/>
          <w:iCs/>
          <w:kern w:val="22"/>
          <w:sz w:val="24"/>
          <w:szCs w:val="24"/>
          <w:lang w:val="en-US" w:eastAsia="en-GB"/>
        </w:rPr>
        <w:t>2.2 Molecular Docking (AutoDock Vina)</w:t>
      </w:r>
    </w:p>
    <w:p w14:paraId="18E6A20E">
      <w:pPr>
        <w:numPr>
          <w:ilvl w:val="0"/>
          <w:numId w:val="0"/>
        </w:numPr>
        <w:ind w:leftChars="0"/>
        <w:jc w:val="left"/>
        <w:rPr>
          <w:rFonts w:hint="default" w:ascii="Calibri" w:hAnsi="Calibri" w:eastAsia="Times New Roman" w:cs="Calibri"/>
          <w:i w:val="0"/>
          <w:iCs w:val="0"/>
          <w:kern w:val="22"/>
          <w:lang w:val="en-US" w:eastAsia="en-GB"/>
        </w:rPr>
      </w:pPr>
    </w:p>
    <w:p w14:paraId="222311B8">
      <w:pPr>
        <w:numPr>
          <w:ilvl w:val="0"/>
          <w:numId w:val="0"/>
        </w:numPr>
        <w:ind w:leftChars="0"/>
        <w:jc w:val="left"/>
        <w:rPr>
          <w:rFonts w:hint="default" w:ascii="Calibri" w:hAnsi="Calibri" w:eastAsia="Times New Roman" w:cs="Calibri"/>
          <w:b w:val="0"/>
          <w:bCs w:val="0"/>
          <w:i/>
          <w:iCs/>
          <w:kern w:val="22"/>
          <w:u w:val="single"/>
          <w:lang w:val="en-US" w:eastAsia="en-GB"/>
        </w:rPr>
      </w:pPr>
      <w:r>
        <w:rPr>
          <w:rFonts w:hint="default" w:ascii="Calibri" w:hAnsi="Calibri" w:eastAsia="Times New Roman" w:cs="Calibri"/>
          <w:i w:val="0"/>
          <w:iCs w:val="0"/>
          <w:kern w:val="22"/>
          <w:lang w:val="en-US" w:eastAsia="en-GB"/>
        </w:rPr>
        <w:t xml:space="preserve"> </w:t>
      </w:r>
      <w:r>
        <w:rPr>
          <w:rFonts w:hint="default" w:ascii="Calibri" w:hAnsi="Calibri" w:eastAsia="Times New Roman" w:cs="Calibri"/>
          <w:b w:val="0"/>
          <w:bCs w:val="0"/>
          <w:i/>
          <w:iCs/>
          <w:kern w:val="22"/>
          <w:u w:val="single"/>
          <w:lang w:val="en-US" w:eastAsia="en-GB"/>
        </w:rPr>
        <w:t>Step1: Ligand and Receptor Preparation</w:t>
      </w:r>
    </w:p>
    <w:p w14:paraId="349322F1">
      <w:pPr>
        <w:numPr>
          <w:ilvl w:val="0"/>
          <w:numId w:val="0"/>
        </w:numPr>
        <w:ind w:leftChars="0"/>
        <w:jc w:val="left"/>
        <w:rPr>
          <w:rFonts w:hint="default" w:ascii="Calibri" w:hAnsi="Calibri" w:eastAsia="Times New Roman" w:cs="Calibri"/>
          <w:i w:val="0"/>
          <w:iCs w:val="0"/>
          <w:kern w:val="22"/>
          <w:lang w:val="en-US" w:eastAsia="en-GB"/>
        </w:rPr>
      </w:pPr>
      <w:r>
        <w:rPr>
          <w:rFonts w:hint="default" w:ascii="Calibri" w:hAnsi="Calibri" w:eastAsia="Times New Roman" w:cs="Calibri"/>
          <w:i w:val="0"/>
          <w:iCs w:val="0"/>
          <w:kern w:val="22"/>
          <w:lang w:val="en-US" w:eastAsia="en-GB"/>
        </w:rPr>
        <w:t>A set of 58 phytochemical compounds was collected from a previously published study. The three- dimensional structures of these compounds were converted into PDBQT format using AutoDock Tools. During this process, hydrogen atoms were added, and Gasteiger charges were assigned to ensure docking compatibility.</w:t>
      </w:r>
    </w:p>
    <w:p w14:paraId="0C0CDC43">
      <w:pPr>
        <w:numPr>
          <w:ilvl w:val="0"/>
          <w:numId w:val="0"/>
        </w:numPr>
        <w:ind w:leftChars="0"/>
        <w:jc w:val="left"/>
        <w:rPr>
          <w:rFonts w:hint="default" w:ascii="Calibri" w:hAnsi="Calibri" w:eastAsia="Times New Roman" w:cs="Calibri"/>
          <w:i w:val="0"/>
          <w:iCs w:val="0"/>
          <w:kern w:val="22"/>
          <w:lang w:val="en-US" w:eastAsia="en-GB"/>
        </w:rPr>
      </w:pPr>
    </w:p>
    <w:p w14:paraId="0240AED1">
      <w:pPr>
        <w:numPr>
          <w:ilvl w:val="0"/>
          <w:numId w:val="0"/>
        </w:numPr>
        <w:ind w:leftChars="0"/>
        <w:jc w:val="left"/>
        <w:rPr>
          <w:rFonts w:hint="default" w:ascii="Calibri" w:hAnsi="Calibri" w:eastAsia="Times New Roman" w:cs="Calibri"/>
          <w:i w:val="0"/>
          <w:iCs w:val="0"/>
          <w:kern w:val="22"/>
          <w:lang w:val="en-US" w:eastAsia="en-GB"/>
        </w:rPr>
      </w:pPr>
      <w:r>
        <w:rPr>
          <w:rFonts w:hint="default" w:ascii="Calibri" w:hAnsi="Calibri" w:eastAsia="Times New Roman" w:cs="Calibri"/>
          <w:i w:val="0"/>
          <w:iCs w:val="0"/>
          <w:kern w:val="22"/>
          <w:lang w:val="en-US" w:eastAsia="en-GB"/>
        </w:rPr>
        <w:t xml:space="preserve">The protein structure was also prepared in a similar manner. Water molecules were removed, polar hydrogens were added, and the structure was saved in PDBQT format for docking. </w:t>
      </w:r>
    </w:p>
    <w:p w14:paraId="16623ED9">
      <w:pPr>
        <w:numPr>
          <w:ilvl w:val="0"/>
          <w:numId w:val="0"/>
        </w:numPr>
        <w:ind w:leftChars="0"/>
        <w:jc w:val="left"/>
        <w:rPr>
          <w:rFonts w:hint="default" w:ascii="Calibri" w:hAnsi="Calibri" w:eastAsia="Times New Roman" w:cs="Calibri"/>
          <w:i w:val="0"/>
          <w:iCs w:val="0"/>
          <w:kern w:val="22"/>
          <w:lang w:val="en-US" w:eastAsia="en-GB"/>
        </w:rPr>
      </w:pPr>
    </w:p>
    <w:p w14:paraId="12AE246E">
      <w:pPr>
        <w:numPr>
          <w:ilvl w:val="0"/>
          <w:numId w:val="0"/>
        </w:numPr>
        <w:ind w:leftChars="0"/>
        <w:jc w:val="left"/>
        <w:rPr>
          <w:rFonts w:hint="default" w:ascii="Calibri" w:hAnsi="Calibri" w:eastAsia="Times New Roman" w:cs="Calibri"/>
          <w:b w:val="0"/>
          <w:bCs w:val="0"/>
          <w:i/>
          <w:iCs/>
          <w:kern w:val="22"/>
          <w:u w:val="single"/>
          <w:lang w:val="en-US" w:eastAsia="en-GB"/>
        </w:rPr>
      </w:pPr>
      <w:r>
        <w:rPr>
          <w:rFonts w:hint="default" w:ascii="Calibri" w:hAnsi="Calibri" w:eastAsia="Times New Roman" w:cs="Calibri"/>
          <w:b w:val="0"/>
          <w:bCs w:val="0"/>
          <w:i/>
          <w:iCs/>
          <w:kern w:val="22"/>
          <w:u w:val="single"/>
          <w:lang w:val="en-US" w:eastAsia="en-GB"/>
        </w:rPr>
        <w:t>Step2: Grid Box and Docking</w:t>
      </w:r>
    </w:p>
    <w:p w14:paraId="73BC22DA">
      <w:pPr>
        <w:numPr>
          <w:ilvl w:val="0"/>
          <w:numId w:val="0"/>
        </w:numPr>
        <w:ind w:leftChars="0"/>
        <w:jc w:val="left"/>
        <w:rPr>
          <w:rFonts w:hint="default" w:ascii="Calibri" w:hAnsi="Calibri" w:eastAsia="Times New Roman" w:cs="Calibri"/>
          <w:i w:val="0"/>
          <w:iCs w:val="0"/>
          <w:kern w:val="22"/>
          <w:lang w:val="en-US" w:eastAsia="en-GB"/>
        </w:rPr>
      </w:pPr>
      <w:r>
        <w:rPr>
          <w:rFonts w:hint="default" w:ascii="Calibri" w:hAnsi="Calibri" w:eastAsia="Times New Roman" w:cs="Calibri"/>
          <w:i w:val="0"/>
          <w:iCs w:val="0"/>
          <w:kern w:val="22"/>
          <w:lang w:val="en-US" w:eastAsia="en-GB"/>
        </w:rPr>
        <w:t xml:space="preserve">A docking grid box was defined around the predicted active site residues of the protein to restrict the docking search space. Molecular docking was then carried out using AutoDock Vina with an exhaustiveness value of 8 to ensure adequate sampling. </w:t>
      </w:r>
    </w:p>
    <w:p w14:paraId="0831D0FD">
      <w:pPr>
        <w:numPr>
          <w:ilvl w:val="0"/>
          <w:numId w:val="0"/>
        </w:numPr>
        <w:ind w:leftChars="0"/>
        <w:jc w:val="left"/>
        <w:rPr>
          <w:rFonts w:hint="default" w:ascii="Calibri" w:hAnsi="Calibri" w:eastAsia="Times New Roman" w:cs="Calibri"/>
          <w:i w:val="0"/>
          <w:iCs w:val="0"/>
          <w:kern w:val="22"/>
          <w:lang w:val="en-US" w:eastAsia="en-GB"/>
        </w:rPr>
      </w:pPr>
    </w:p>
    <w:p w14:paraId="170FC2FA">
      <w:pPr>
        <w:numPr>
          <w:ilvl w:val="0"/>
          <w:numId w:val="0"/>
        </w:numPr>
        <w:ind w:leftChars="0"/>
        <w:jc w:val="left"/>
        <w:rPr>
          <w:rFonts w:hint="default" w:ascii="Calibri" w:hAnsi="Calibri" w:eastAsia="Times New Roman" w:cs="Calibri"/>
          <w:i w:val="0"/>
          <w:iCs w:val="0"/>
          <w:kern w:val="22"/>
          <w:lang w:val="en-US" w:eastAsia="en-GB"/>
        </w:rPr>
      </w:pPr>
      <w:r>
        <w:rPr>
          <w:rFonts w:hint="default" w:ascii="Calibri" w:hAnsi="Calibri" w:eastAsia="Times New Roman" w:cs="Calibri"/>
          <w:i w:val="0"/>
          <w:iCs w:val="0"/>
          <w:kern w:val="22"/>
          <w:lang w:val="en-US" w:eastAsia="en-GB"/>
        </w:rPr>
        <w:t>Each ligand was docked individually, and the resulting complexes were ranked based on their binding affinity values (expressed in kcal/ mol). the top 10 compounds with the most favourable binding scores were selected for further evaluation</w:t>
      </w:r>
    </w:p>
    <w:p w14:paraId="58AD51C4">
      <w:pPr>
        <w:numPr>
          <w:ilvl w:val="0"/>
          <w:numId w:val="0"/>
        </w:numPr>
        <w:ind w:leftChars="0"/>
        <w:jc w:val="left"/>
        <w:rPr>
          <w:rFonts w:hint="default" w:ascii="Calibri" w:hAnsi="Calibri" w:eastAsia="Times New Roman" w:cs="Calibri"/>
          <w:i w:val="0"/>
          <w:iCs w:val="0"/>
          <w:kern w:val="22"/>
          <w:lang w:val="en-US" w:eastAsia="en-GB"/>
        </w:rPr>
      </w:pPr>
    </w:p>
    <w:p w14:paraId="35CCE80F">
      <w:pPr>
        <w:numPr>
          <w:ilvl w:val="0"/>
          <w:numId w:val="0"/>
        </w:numPr>
        <w:ind w:leftChars="0"/>
        <w:jc w:val="left"/>
        <w:rPr>
          <w:rFonts w:hint="default" w:ascii="Calibri" w:hAnsi="Calibri" w:eastAsia="Times New Roman" w:cs="Calibri"/>
          <w:i w:val="0"/>
          <w:iCs w:val="0"/>
          <w:kern w:val="22"/>
          <w:lang w:val="en-US" w:eastAsia="en-GB"/>
        </w:rPr>
      </w:pPr>
      <w:r>
        <w:rPr>
          <w:rFonts w:hint="default" w:ascii="Calibri" w:hAnsi="Calibri" w:eastAsia="Times New Roman" w:cs="Calibri"/>
          <w:i w:val="0"/>
          <w:iCs w:val="0"/>
          <w:kern w:val="22"/>
          <w:lang w:val="en-US" w:eastAsia="en-GB"/>
        </w:rPr>
        <w:t>The interactions between the protein and ligand, including hydrogen bonds and key residue contacts, were examined and visualized using PyMOL.</w:t>
      </w:r>
    </w:p>
    <w:p w14:paraId="317BB499">
      <w:pPr>
        <w:numPr>
          <w:ilvl w:val="0"/>
          <w:numId w:val="0"/>
        </w:numPr>
        <w:ind w:leftChars="0"/>
        <w:jc w:val="left"/>
        <w:rPr>
          <w:rFonts w:hint="default" w:ascii="Calibri" w:hAnsi="Calibri" w:eastAsia="Times New Roman" w:cs="Calibri"/>
          <w:i w:val="0"/>
          <w:iCs w:val="0"/>
          <w:kern w:val="22"/>
          <w:lang w:val="en-US" w:eastAsia="en-GB"/>
        </w:rPr>
      </w:pPr>
    </w:p>
    <w:p w14:paraId="468D001A">
      <w:pPr>
        <w:numPr>
          <w:ilvl w:val="0"/>
          <w:numId w:val="0"/>
        </w:numPr>
        <w:ind w:leftChars="0"/>
        <w:jc w:val="left"/>
        <w:rPr>
          <w:rFonts w:hint="default" w:ascii="Calibri" w:hAnsi="Calibri" w:eastAsia="Times New Roman" w:cs="Calibri"/>
          <w:b/>
          <w:bCs/>
          <w:i/>
          <w:iCs/>
          <w:kern w:val="22"/>
          <w:sz w:val="24"/>
          <w:szCs w:val="24"/>
          <w:lang w:val="en-US" w:eastAsia="en-GB"/>
        </w:rPr>
      </w:pPr>
      <w:r>
        <w:rPr>
          <w:rFonts w:hint="default" w:ascii="Calibri" w:hAnsi="Calibri" w:eastAsia="Times New Roman" w:cs="Calibri"/>
          <w:b/>
          <w:bCs/>
          <w:i/>
          <w:iCs/>
          <w:kern w:val="22"/>
          <w:sz w:val="24"/>
          <w:szCs w:val="24"/>
          <w:lang w:val="en-US" w:eastAsia="en-GB"/>
        </w:rPr>
        <w:t>2.3 Drug-likeness evaluation (Swiss ADME)</w:t>
      </w:r>
    </w:p>
    <w:p w14:paraId="72CBA510">
      <w:pPr>
        <w:numPr>
          <w:ilvl w:val="0"/>
          <w:numId w:val="0"/>
        </w:numPr>
        <w:ind w:leftChars="0"/>
        <w:jc w:val="left"/>
        <w:rPr>
          <w:rFonts w:hint="default" w:ascii="Calibri" w:hAnsi="Calibri" w:eastAsia="Times New Roman" w:cs="Calibri"/>
          <w:i w:val="0"/>
          <w:iCs w:val="0"/>
          <w:kern w:val="22"/>
          <w:lang w:val="en-US" w:eastAsia="en-GB"/>
        </w:rPr>
      </w:pPr>
    </w:p>
    <w:p w14:paraId="39D38995">
      <w:pPr>
        <w:numPr>
          <w:ilvl w:val="0"/>
          <w:numId w:val="0"/>
        </w:numPr>
        <w:ind w:leftChars="0"/>
        <w:jc w:val="left"/>
        <w:rPr>
          <w:rFonts w:hint="default" w:ascii="Calibri" w:hAnsi="Calibri" w:eastAsia="Times New Roman" w:cs="Calibri"/>
          <w:i w:val="0"/>
          <w:iCs w:val="0"/>
          <w:kern w:val="22"/>
          <w:lang w:val="en-US" w:eastAsia="en-GB"/>
        </w:rPr>
      </w:pPr>
      <w:r>
        <w:rPr>
          <w:rFonts w:hint="default" w:ascii="Calibri" w:hAnsi="Calibri" w:eastAsia="Times New Roman" w:cs="Calibri"/>
          <w:i w:val="0"/>
          <w:iCs w:val="0"/>
          <w:kern w:val="22"/>
          <w:lang w:val="en-US" w:eastAsia="en-GB"/>
        </w:rPr>
        <w:t xml:space="preserve">The SMILES representation of the selected top 10 compounds were analyzed using the Swiss ADME web tool. Several pharmacokinetics and Phytochemical properties were assessed, including molecular weight, lipophilicity (LogP), hydrogen bond donors and acceptors, and topological polar surface area (TPSA). </w:t>
      </w:r>
    </w:p>
    <w:p w14:paraId="3213889B">
      <w:pPr>
        <w:numPr>
          <w:ilvl w:val="0"/>
          <w:numId w:val="0"/>
        </w:numPr>
        <w:ind w:leftChars="0"/>
        <w:jc w:val="left"/>
        <w:rPr>
          <w:rFonts w:hint="default" w:ascii="Calibri" w:hAnsi="Calibri" w:eastAsia="Times New Roman" w:cs="Calibri"/>
          <w:i w:val="0"/>
          <w:iCs w:val="0"/>
          <w:kern w:val="22"/>
          <w:lang w:val="en-US" w:eastAsia="en-GB"/>
        </w:rPr>
      </w:pPr>
    </w:p>
    <w:p w14:paraId="6B5A0402">
      <w:pPr>
        <w:numPr>
          <w:ilvl w:val="0"/>
          <w:numId w:val="0"/>
        </w:numPr>
        <w:ind w:leftChars="0"/>
        <w:jc w:val="left"/>
        <w:rPr>
          <w:rFonts w:hint="default" w:ascii="Calibri" w:hAnsi="Calibri" w:eastAsia="Times New Roman" w:cs="Calibri"/>
          <w:i w:val="0"/>
          <w:iCs w:val="0"/>
          <w:kern w:val="22"/>
          <w:lang w:val="en-US" w:eastAsia="en-GB"/>
        </w:rPr>
      </w:pPr>
      <w:r>
        <w:rPr>
          <w:rFonts w:hint="default" w:ascii="Calibri" w:hAnsi="Calibri" w:eastAsia="Times New Roman" w:cs="Calibri"/>
          <w:i w:val="0"/>
          <w:iCs w:val="0"/>
          <w:kern w:val="22"/>
          <w:lang w:val="en-US" w:eastAsia="en-GB"/>
        </w:rPr>
        <w:t>Additional parameters such as gastrointestinal absorption, Lipinski's Rule of Five compliance, synthetic accessibility score, solubility and PAINS alerts were also considered. Based on these criteria, the compounds were compared and ranked accoridng to their suitability as potential drug candidates.</w:t>
      </w:r>
    </w:p>
    <w:p w14:paraId="79601917">
      <w:pPr>
        <w:numPr>
          <w:ilvl w:val="0"/>
          <w:numId w:val="0"/>
        </w:numPr>
        <w:ind w:leftChars="0"/>
        <w:jc w:val="left"/>
        <w:rPr>
          <w:rFonts w:hint="default" w:ascii="Calibri" w:hAnsi="Calibri" w:eastAsia="Times New Roman" w:cs="Calibri"/>
          <w:i w:val="0"/>
          <w:iCs w:val="0"/>
          <w:kern w:val="22"/>
          <w:lang w:val="en-US" w:eastAsia="en-GB"/>
        </w:rPr>
      </w:pPr>
    </w:p>
    <w:p w14:paraId="71305F25">
      <w:pPr>
        <w:numPr>
          <w:ilvl w:val="0"/>
          <w:numId w:val="0"/>
        </w:numPr>
        <w:ind w:leftChars="0"/>
        <w:jc w:val="left"/>
        <w:rPr>
          <w:rFonts w:hint="default" w:ascii="Calibri" w:hAnsi="Calibri" w:eastAsia="Times New Roman" w:cs="Calibri"/>
          <w:i w:val="0"/>
          <w:iCs w:val="0"/>
          <w:kern w:val="22"/>
          <w:lang w:val="en-US" w:eastAsia="en-GB"/>
        </w:rPr>
      </w:pPr>
    </w:p>
    <w:p w14:paraId="15EF8BF4">
      <w:pPr>
        <w:numPr>
          <w:ilvl w:val="0"/>
          <w:numId w:val="0"/>
        </w:numPr>
        <w:ind w:leftChars="0"/>
        <w:jc w:val="left"/>
        <w:rPr>
          <w:rFonts w:hint="default" w:ascii="Calibri" w:hAnsi="Calibri" w:eastAsia="Times New Roman" w:cs="Calibri"/>
          <w:b/>
          <w:bCs/>
          <w:i/>
          <w:iCs/>
          <w:kern w:val="22"/>
          <w:sz w:val="24"/>
          <w:szCs w:val="24"/>
          <w:lang w:val="en-US" w:eastAsia="en-GB"/>
        </w:rPr>
      </w:pPr>
      <w:r>
        <w:rPr>
          <w:rFonts w:hint="default" w:ascii="Calibri" w:hAnsi="Calibri" w:eastAsia="Times New Roman" w:cs="Calibri"/>
          <w:b/>
          <w:bCs/>
          <w:i/>
          <w:iCs/>
          <w:kern w:val="22"/>
          <w:sz w:val="24"/>
          <w:szCs w:val="24"/>
          <w:lang w:val="en-US" w:eastAsia="en-GB"/>
        </w:rPr>
        <w:t xml:space="preserve">2.4 Molecular Dynamics simulation (GROMACS) </w:t>
      </w:r>
    </w:p>
    <w:p w14:paraId="3CB0C178">
      <w:pPr>
        <w:numPr>
          <w:ilvl w:val="0"/>
          <w:numId w:val="0"/>
        </w:numPr>
        <w:ind w:leftChars="0"/>
        <w:jc w:val="left"/>
        <w:rPr>
          <w:rFonts w:hint="default" w:ascii="Calibri" w:hAnsi="Calibri" w:eastAsia="Times New Roman" w:cs="Calibri"/>
          <w:i w:val="0"/>
          <w:iCs w:val="0"/>
          <w:kern w:val="22"/>
          <w:lang w:val="en-US" w:eastAsia="en-GB"/>
        </w:rPr>
      </w:pPr>
    </w:p>
    <w:p w14:paraId="26E3B4CF">
      <w:pPr>
        <w:numPr>
          <w:ilvl w:val="0"/>
          <w:numId w:val="0"/>
        </w:numPr>
        <w:ind w:leftChars="0"/>
        <w:jc w:val="left"/>
        <w:rPr>
          <w:rFonts w:hint="default" w:ascii="Calibri" w:hAnsi="Calibri" w:eastAsia="Times New Roman" w:cs="Calibri"/>
          <w:i/>
          <w:iCs/>
          <w:kern w:val="22"/>
          <w:u w:val="single"/>
          <w:lang w:val="en-US" w:eastAsia="en-GB"/>
        </w:rPr>
      </w:pPr>
      <w:r>
        <w:rPr>
          <w:rFonts w:hint="default" w:ascii="Calibri" w:hAnsi="Calibri" w:eastAsia="Times New Roman" w:cs="Calibri"/>
          <w:i/>
          <w:iCs/>
          <w:kern w:val="22"/>
          <w:u w:val="single"/>
          <w:lang w:val="en-US" w:eastAsia="en-GB"/>
        </w:rPr>
        <w:t>System setup and equilibration</w:t>
      </w:r>
    </w:p>
    <w:p w14:paraId="01582F3E">
      <w:pPr>
        <w:numPr>
          <w:ilvl w:val="0"/>
          <w:numId w:val="0"/>
        </w:numPr>
        <w:ind w:leftChars="0"/>
        <w:jc w:val="left"/>
        <w:rPr>
          <w:rFonts w:hint="default" w:ascii="Calibri" w:hAnsi="Calibri" w:eastAsia="Times New Roman" w:cs="Calibri"/>
          <w:i w:val="0"/>
          <w:iCs w:val="0"/>
          <w:kern w:val="22"/>
          <w:lang w:val="en-US" w:eastAsia="en-GB"/>
        </w:rPr>
      </w:pPr>
      <w:r>
        <w:rPr>
          <w:rFonts w:hint="default" w:ascii="Calibri" w:hAnsi="Calibri" w:eastAsia="Times New Roman" w:cs="Calibri"/>
          <w:i w:val="0"/>
          <w:iCs w:val="0"/>
          <w:kern w:val="22"/>
          <w:lang w:val="en-US" w:eastAsia="en-GB"/>
        </w:rPr>
        <w:t>The protein-ligand complex formed between PfPGM1 and the best-performing compounds (AD53) was selected for molecular dynamics simulation. The CHARMM27 force field was applied to the protein, while ligand parameters were generated using Swiss Param server.</w:t>
      </w:r>
    </w:p>
    <w:p w14:paraId="7DDEB32A">
      <w:pPr>
        <w:numPr>
          <w:ilvl w:val="0"/>
          <w:numId w:val="0"/>
        </w:numPr>
        <w:ind w:leftChars="0"/>
        <w:jc w:val="left"/>
        <w:rPr>
          <w:rFonts w:hint="default" w:ascii="Calibri" w:hAnsi="Calibri" w:eastAsia="Times New Roman" w:cs="Calibri"/>
          <w:i w:val="0"/>
          <w:iCs w:val="0"/>
          <w:kern w:val="22"/>
          <w:lang w:val="en-US" w:eastAsia="en-GB"/>
        </w:rPr>
      </w:pPr>
    </w:p>
    <w:p w14:paraId="61D43EC2">
      <w:pPr>
        <w:numPr>
          <w:ilvl w:val="0"/>
          <w:numId w:val="0"/>
        </w:numPr>
        <w:ind w:leftChars="0"/>
        <w:jc w:val="left"/>
        <w:rPr>
          <w:rFonts w:hint="default" w:ascii="Calibri" w:hAnsi="Calibri" w:eastAsia="Times New Roman" w:cs="Calibri"/>
          <w:i w:val="0"/>
          <w:iCs w:val="0"/>
          <w:kern w:val="22"/>
          <w:lang w:val="en-US" w:eastAsia="en-GB"/>
        </w:rPr>
      </w:pPr>
      <w:r>
        <w:rPr>
          <w:rFonts w:hint="default" w:ascii="Calibri" w:hAnsi="Calibri" w:eastAsia="Times New Roman" w:cs="Calibri"/>
          <w:i w:val="0"/>
          <w:iCs w:val="0"/>
          <w:kern w:val="22"/>
          <w:lang w:val="en-US" w:eastAsia="en-GB"/>
        </w:rPr>
        <w:t>The complex was then placed in a cubic simulation cubic box filled with TIP3P water molecules, maintaining a padding distance of 1.0nm from the protein surface. To mimics physiological conditions, the systems was neutralized and supplemented with Na+ and Cl- ions at a concentration of 0.15M.</w:t>
      </w:r>
    </w:p>
    <w:p w14:paraId="06E79938">
      <w:pPr>
        <w:numPr>
          <w:ilvl w:val="0"/>
          <w:numId w:val="0"/>
        </w:numPr>
        <w:ind w:leftChars="0"/>
        <w:jc w:val="left"/>
        <w:rPr>
          <w:rFonts w:hint="default" w:ascii="Calibri" w:hAnsi="Calibri" w:eastAsia="Times New Roman" w:cs="Calibri"/>
          <w:i w:val="0"/>
          <w:iCs w:val="0"/>
          <w:kern w:val="22"/>
          <w:lang w:val="en-US" w:eastAsia="en-GB"/>
        </w:rPr>
      </w:pPr>
    </w:p>
    <w:p w14:paraId="3D586FF7">
      <w:pPr>
        <w:numPr>
          <w:ilvl w:val="0"/>
          <w:numId w:val="0"/>
        </w:numPr>
        <w:ind w:leftChars="0"/>
        <w:jc w:val="left"/>
        <w:rPr>
          <w:rFonts w:hint="default" w:ascii="Calibri" w:hAnsi="Calibri" w:eastAsia="Times New Roman" w:cs="Calibri"/>
          <w:i w:val="0"/>
          <w:iCs w:val="0"/>
          <w:kern w:val="22"/>
          <w:lang w:val="en-US" w:eastAsia="en-GB"/>
        </w:rPr>
      </w:pPr>
      <w:r>
        <w:rPr>
          <w:rFonts w:hint="default" w:ascii="Calibri" w:hAnsi="Calibri" w:eastAsia="Times New Roman" w:cs="Calibri"/>
          <w:i w:val="0"/>
          <w:iCs w:val="0"/>
          <w:kern w:val="22"/>
          <w:lang w:val="en-US" w:eastAsia="en-GB"/>
        </w:rPr>
        <w:t xml:space="preserve">Energy Minimization was performed using the steepest descent algorithm until the system reached a stable state, with forces reduced below 1000 kJ/mol/nm. Following this, equilibration was carried out in two stages. First, an NVT ensemble was run for 10000ps at 300K using a v-rescale thermostat. This was followed by an NPT conditions. The system coordinates were recorded at intervals of 10ps for further analysis. </w:t>
      </w:r>
    </w:p>
    <w:p w14:paraId="39652C12">
      <w:pPr>
        <w:numPr>
          <w:ilvl w:val="0"/>
          <w:numId w:val="0"/>
        </w:numPr>
        <w:ind w:leftChars="0"/>
        <w:jc w:val="left"/>
        <w:rPr>
          <w:rFonts w:hint="default" w:ascii="Calibri" w:hAnsi="Calibri" w:eastAsia="Times New Roman" w:cs="Calibri"/>
          <w:i w:val="0"/>
          <w:iCs w:val="0"/>
          <w:kern w:val="22"/>
          <w:lang w:val="en-US" w:eastAsia="en-GB"/>
        </w:rPr>
      </w:pPr>
    </w:p>
    <w:p w14:paraId="147AF400">
      <w:pPr>
        <w:numPr>
          <w:ilvl w:val="0"/>
          <w:numId w:val="0"/>
        </w:numPr>
        <w:ind w:leftChars="0"/>
        <w:jc w:val="left"/>
        <w:rPr>
          <w:rFonts w:hint="default" w:ascii="Calibri" w:hAnsi="Calibri" w:eastAsia="Times New Roman" w:cs="Calibri"/>
          <w:i/>
          <w:iCs/>
          <w:kern w:val="22"/>
          <w:u w:val="single"/>
          <w:lang w:val="en-US" w:eastAsia="en-GB"/>
        </w:rPr>
      </w:pPr>
      <w:r>
        <w:rPr>
          <w:rFonts w:hint="default" w:ascii="Calibri" w:hAnsi="Calibri" w:eastAsia="Times New Roman" w:cs="Calibri"/>
          <w:i/>
          <w:iCs/>
          <w:kern w:val="22"/>
          <w:u w:val="single"/>
          <w:lang w:val="en-US" w:eastAsia="en-GB"/>
        </w:rPr>
        <w:t>Trajectory Analysis</w:t>
      </w:r>
    </w:p>
    <w:p w14:paraId="3DF774E2">
      <w:pPr>
        <w:numPr>
          <w:ilvl w:val="0"/>
          <w:numId w:val="0"/>
        </w:numPr>
        <w:ind w:leftChars="0"/>
        <w:jc w:val="left"/>
        <w:rPr>
          <w:rFonts w:hint="default" w:ascii="Calibri" w:hAnsi="Calibri" w:eastAsia="Times New Roman" w:cs="Calibri"/>
          <w:i w:val="0"/>
          <w:iCs w:val="0"/>
          <w:kern w:val="22"/>
          <w:lang w:val="en-US" w:eastAsia="en-GB"/>
        </w:rPr>
      </w:pPr>
      <w:r>
        <w:rPr>
          <w:rFonts w:hint="default" w:ascii="Calibri" w:hAnsi="Calibri" w:eastAsia="Times New Roman" w:cs="Calibri"/>
          <w:i w:val="0"/>
          <w:iCs w:val="0"/>
          <w:kern w:val="22"/>
          <w:lang w:val="en-US" w:eastAsia="en-GB"/>
        </w:rPr>
        <w:t xml:space="preserve"> The simulation trajectory was analyzed using various parameters to evaluate the stability and behaviour of the protein- ligand complex:</w:t>
      </w:r>
    </w:p>
    <w:p w14:paraId="132F4C46">
      <w:pPr>
        <w:numPr>
          <w:ilvl w:val="0"/>
          <w:numId w:val="4"/>
        </w:numPr>
        <w:ind w:left="840" w:leftChars="0" w:hanging="420" w:firstLineChars="0"/>
        <w:jc w:val="left"/>
        <w:rPr>
          <w:rFonts w:hint="default" w:ascii="Calibri" w:hAnsi="Calibri" w:eastAsia="Times New Roman" w:cs="Calibri"/>
          <w:i w:val="0"/>
          <w:iCs w:val="0"/>
          <w:kern w:val="22"/>
          <w:lang w:val="en-US" w:eastAsia="en-GB"/>
        </w:rPr>
      </w:pPr>
      <w:r>
        <w:rPr>
          <w:rFonts w:hint="default" w:ascii="Calibri" w:hAnsi="Calibri" w:eastAsia="Times New Roman" w:cs="Calibri"/>
          <w:i w:val="0"/>
          <w:iCs w:val="0"/>
          <w:kern w:val="22"/>
          <w:lang w:val="en-US" w:eastAsia="en-GB"/>
        </w:rPr>
        <w:t>Total Energy (gmx energy)- used to monitor the overall stability of the system throughout the simulation.</w:t>
      </w:r>
    </w:p>
    <w:p w14:paraId="5B155C27">
      <w:pPr>
        <w:numPr>
          <w:ilvl w:val="0"/>
          <w:numId w:val="4"/>
        </w:numPr>
        <w:ind w:left="840" w:leftChars="0" w:hanging="420" w:firstLineChars="0"/>
        <w:jc w:val="left"/>
        <w:rPr>
          <w:rFonts w:hint="default" w:ascii="Calibri" w:hAnsi="Calibri" w:eastAsia="Times New Roman" w:cs="Calibri"/>
          <w:i w:val="0"/>
          <w:iCs w:val="0"/>
          <w:kern w:val="22"/>
          <w:lang w:val="en-US" w:eastAsia="en-GB"/>
        </w:rPr>
      </w:pPr>
      <w:r>
        <w:rPr>
          <w:rFonts w:hint="default" w:ascii="Calibri" w:hAnsi="Calibri" w:eastAsia="Times New Roman" w:cs="Calibri"/>
          <w:i w:val="0"/>
          <w:iCs w:val="0"/>
          <w:kern w:val="22"/>
          <w:lang w:val="en-US" w:eastAsia="en-GB"/>
        </w:rPr>
        <w:t>RMSD (gmx rms)- Root Mean square Deviation, assessed structural deviations of the protein backbone and ligand over time relative to the initial structure.</w:t>
      </w:r>
    </w:p>
    <w:p w14:paraId="447BE135">
      <w:pPr>
        <w:numPr>
          <w:ilvl w:val="0"/>
          <w:numId w:val="4"/>
        </w:numPr>
        <w:ind w:left="840" w:leftChars="0" w:hanging="420" w:firstLineChars="0"/>
        <w:jc w:val="left"/>
        <w:rPr>
          <w:rFonts w:hint="default" w:ascii="Calibri" w:hAnsi="Calibri" w:eastAsia="Times New Roman" w:cs="Calibri"/>
          <w:i w:val="0"/>
          <w:iCs w:val="0"/>
          <w:kern w:val="22"/>
          <w:lang w:val="en-US" w:eastAsia="en-GB"/>
        </w:rPr>
      </w:pPr>
      <w:r>
        <w:rPr>
          <w:rFonts w:hint="default" w:ascii="Calibri" w:hAnsi="Calibri" w:eastAsia="Times New Roman" w:cs="Calibri"/>
          <w:i w:val="0"/>
          <w:iCs w:val="0"/>
          <w:kern w:val="22"/>
          <w:lang w:val="en-US" w:eastAsia="en-GB"/>
        </w:rPr>
        <w:t>RMSF (gmx rmsf)- Root Mean Square Fluctuation, measured residue- level flexibility to identify dynamic regions within the protein.</w:t>
      </w:r>
    </w:p>
    <w:p w14:paraId="675E3247">
      <w:pPr>
        <w:numPr>
          <w:ilvl w:val="0"/>
          <w:numId w:val="4"/>
        </w:numPr>
        <w:ind w:left="840" w:leftChars="0" w:hanging="420" w:firstLineChars="0"/>
        <w:jc w:val="left"/>
        <w:rPr>
          <w:rFonts w:hint="default" w:ascii="Calibri" w:hAnsi="Calibri" w:eastAsia="Times New Roman" w:cs="Calibri"/>
          <w:i w:val="0"/>
          <w:iCs w:val="0"/>
          <w:kern w:val="22"/>
          <w:lang w:val="en-US" w:eastAsia="en-GB"/>
        </w:rPr>
      </w:pPr>
      <w:r>
        <w:rPr>
          <w:rFonts w:hint="default" w:ascii="Calibri" w:hAnsi="Calibri" w:eastAsia="Times New Roman" w:cs="Calibri"/>
          <w:i w:val="0"/>
          <w:iCs w:val="0"/>
          <w:kern w:val="22"/>
          <w:lang w:val="en-US" w:eastAsia="en-GB"/>
        </w:rPr>
        <w:t>Radius of Gyration (gmx gyrate)- evaluated the compactness and folding stability of the protein structure.</w:t>
      </w:r>
    </w:p>
    <w:p w14:paraId="3E93E521">
      <w:pPr>
        <w:numPr>
          <w:ilvl w:val="0"/>
          <w:numId w:val="4"/>
        </w:numPr>
        <w:ind w:left="840" w:leftChars="0" w:hanging="420" w:firstLineChars="0"/>
        <w:jc w:val="left"/>
        <w:rPr>
          <w:rFonts w:hint="default" w:ascii="Calibri" w:hAnsi="Calibri" w:eastAsia="Times New Roman" w:cs="Calibri"/>
          <w:i w:val="0"/>
          <w:iCs w:val="0"/>
          <w:kern w:val="22"/>
          <w:lang w:val="en-US" w:eastAsia="en-GB"/>
        </w:rPr>
      </w:pPr>
      <w:r>
        <w:rPr>
          <w:rFonts w:hint="default" w:ascii="Calibri" w:hAnsi="Calibri" w:eastAsia="Times New Roman" w:cs="Calibri"/>
          <w:i w:val="0"/>
          <w:iCs w:val="0"/>
          <w:kern w:val="22"/>
          <w:lang w:val="en-US" w:eastAsia="en-GB"/>
        </w:rPr>
        <w:t>Hydrogen Bonds (gmx hbond)- tracked the number and persistence of the hydrogen bonds between the protein and ligand during this simulation.</w:t>
      </w:r>
    </w:p>
    <w:p w14:paraId="0D005C3F">
      <w:pPr>
        <w:numPr>
          <w:ilvl w:val="0"/>
          <w:numId w:val="4"/>
        </w:numPr>
        <w:ind w:left="840" w:leftChars="0" w:hanging="420" w:firstLineChars="0"/>
        <w:jc w:val="left"/>
        <w:rPr>
          <w:rFonts w:hint="default" w:ascii="Calibri" w:hAnsi="Calibri" w:eastAsia="Times New Roman" w:cs="Calibri"/>
          <w:i w:val="0"/>
          <w:iCs w:val="0"/>
          <w:kern w:val="22"/>
          <w:lang w:val="en-US" w:eastAsia="en-GB"/>
        </w:rPr>
      </w:pPr>
      <w:r>
        <w:rPr>
          <w:rFonts w:hint="default" w:ascii="Calibri" w:hAnsi="Calibri" w:eastAsia="Times New Roman" w:cs="Calibri"/>
          <w:i w:val="0"/>
          <w:iCs w:val="0"/>
          <w:kern w:val="22"/>
          <w:lang w:val="en-US" w:eastAsia="en-GB"/>
        </w:rPr>
        <w:t>Visualization of H-bonds: PyMOL was used to compare hydrogen bond interactions at the beginning (0ns) and end (10ns) of the simulation.</w:t>
      </w:r>
    </w:p>
    <w:p w14:paraId="25B442CB">
      <w:pPr>
        <w:numPr>
          <w:ilvl w:val="0"/>
          <w:numId w:val="4"/>
        </w:numPr>
        <w:ind w:left="840" w:leftChars="0" w:hanging="420" w:firstLineChars="0"/>
        <w:jc w:val="left"/>
        <w:rPr>
          <w:rFonts w:hint="default" w:ascii="Calibri" w:hAnsi="Calibri" w:eastAsia="Times New Roman" w:cs="Calibri"/>
          <w:i w:val="0"/>
          <w:iCs w:val="0"/>
          <w:kern w:val="22"/>
          <w:lang w:val="en-US" w:eastAsia="en-GB"/>
        </w:rPr>
      </w:pPr>
      <w:r>
        <w:rPr>
          <w:rFonts w:hint="default" w:ascii="Calibri" w:hAnsi="Calibri" w:eastAsia="Times New Roman" w:cs="Calibri"/>
          <w:i w:val="0"/>
          <w:iCs w:val="0"/>
          <w:kern w:val="22"/>
          <w:lang w:val="en-US" w:eastAsia="en-GB"/>
        </w:rPr>
        <w:t>Ligand pose alignment- the ligand conformations at 0ns and 10ns were superimposed to observe any positional or conformational changes during the simulation.</w:t>
      </w:r>
    </w:p>
    <w:p w14:paraId="63741C28">
      <w:pPr>
        <w:numPr>
          <w:ilvl w:val="0"/>
          <w:numId w:val="0"/>
        </w:numPr>
        <w:jc w:val="left"/>
        <w:rPr>
          <w:rFonts w:hint="default" w:ascii="Calibri" w:hAnsi="Calibri" w:eastAsia="Times New Roman" w:cs="Calibri"/>
          <w:i w:val="0"/>
          <w:iCs w:val="0"/>
          <w:kern w:val="22"/>
          <w:lang w:val="en-US" w:eastAsia="en-GB"/>
        </w:rPr>
      </w:pPr>
    </w:p>
    <w:p w14:paraId="3BF2A646">
      <w:pPr>
        <w:numPr>
          <w:ilvl w:val="0"/>
          <w:numId w:val="0"/>
        </w:numPr>
        <w:jc w:val="left"/>
        <w:rPr>
          <w:rFonts w:hint="default" w:ascii="Calibri" w:hAnsi="Calibri" w:cs="Calibri"/>
          <w:i w:val="0"/>
          <w:iCs w:val="0"/>
          <w:sz w:val="20"/>
          <w:szCs w:val="20"/>
        </w:rPr>
      </w:pPr>
      <w:r>
        <w:rPr>
          <w:rFonts w:hint="default" w:ascii="Calibri" w:hAnsi="Calibri" w:cs="Calibri"/>
          <w:i w:val="0"/>
          <w:iCs w:val="0"/>
          <w:sz w:val="20"/>
          <w:szCs w:val="20"/>
        </w:rPr>
        <w:drawing>
          <wp:inline distT="0" distB="0" distL="114300" distR="114300">
            <wp:extent cx="5934710" cy="573405"/>
            <wp:effectExtent l="0" t="0" r="8890" b="1079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12"/>
                    <a:stretch>
                      <a:fillRect/>
                    </a:stretch>
                  </pic:blipFill>
                  <pic:spPr>
                    <a:xfrm>
                      <a:off x="0" y="0"/>
                      <a:ext cx="5934710" cy="573405"/>
                    </a:xfrm>
                    <a:prstGeom prst="rect">
                      <a:avLst/>
                    </a:prstGeom>
                    <a:noFill/>
                    <a:ln>
                      <a:noFill/>
                    </a:ln>
                  </pic:spPr>
                </pic:pic>
              </a:graphicData>
            </a:graphic>
          </wp:inline>
        </w:drawing>
      </w:r>
    </w:p>
    <w:p w14:paraId="5FA59144">
      <w:pPr>
        <w:numPr>
          <w:ilvl w:val="0"/>
          <w:numId w:val="0"/>
        </w:numPr>
        <w:jc w:val="left"/>
        <w:rPr>
          <w:rFonts w:hint="default" w:ascii="Calibri" w:hAnsi="Calibri" w:cs="Calibri"/>
          <w:i w:val="0"/>
          <w:iCs w:val="0"/>
          <w:sz w:val="20"/>
          <w:szCs w:val="20"/>
        </w:rPr>
      </w:pPr>
    </w:p>
    <w:p w14:paraId="14127066">
      <w:pPr>
        <w:numPr>
          <w:ilvl w:val="0"/>
          <w:numId w:val="0"/>
        </w:numPr>
        <w:jc w:val="left"/>
        <w:rPr>
          <w:rFonts w:hint="default" w:ascii="Calibri" w:hAnsi="Calibri" w:eastAsia="Arial" w:cs="Calibri"/>
          <w:b/>
          <w:bCs/>
          <w:color w:val="2E4A7A"/>
          <w:sz w:val="28"/>
          <w:szCs w:val="28"/>
        </w:rPr>
      </w:pPr>
    </w:p>
    <w:p w14:paraId="1E4183FD">
      <w:pPr>
        <w:numPr>
          <w:ilvl w:val="0"/>
          <w:numId w:val="0"/>
        </w:numPr>
        <w:jc w:val="left"/>
        <w:rPr>
          <w:rFonts w:hint="default" w:ascii="Calibri" w:hAnsi="Calibri" w:eastAsia="Arial" w:cs="Calibri"/>
          <w:b/>
          <w:bCs/>
          <w:color w:val="2E4A7A"/>
          <w:sz w:val="28"/>
          <w:szCs w:val="28"/>
        </w:rPr>
      </w:pPr>
    </w:p>
    <w:p w14:paraId="753EB11E">
      <w:pPr>
        <w:numPr>
          <w:ilvl w:val="0"/>
          <w:numId w:val="0"/>
        </w:numPr>
        <w:jc w:val="left"/>
        <w:rPr>
          <w:rFonts w:hint="default" w:ascii="Calibri" w:hAnsi="Calibri" w:eastAsia="Arial" w:cs="Calibri"/>
          <w:b/>
          <w:bCs/>
          <w:color w:val="2E4A7A"/>
          <w:sz w:val="28"/>
          <w:szCs w:val="28"/>
        </w:rPr>
      </w:pPr>
    </w:p>
    <w:p w14:paraId="028F1B83">
      <w:pPr>
        <w:numPr>
          <w:ilvl w:val="0"/>
          <w:numId w:val="0"/>
        </w:numPr>
        <w:jc w:val="center"/>
        <w:rPr>
          <w:rFonts w:hint="default" w:ascii="Calibri" w:hAnsi="Calibri" w:cs="Calibri"/>
          <w:sz w:val="28"/>
          <w:szCs w:val="28"/>
        </w:rPr>
      </w:pPr>
      <w:r>
        <w:rPr>
          <w:rFonts w:hint="default" w:ascii="Calibri" w:hAnsi="Calibri" w:eastAsia="Arial" w:cs="Calibri"/>
          <w:b/>
          <w:bCs/>
          <w:color w:val="2E4A7A"/>
          <w:sz w:val="32"/>
          <w:szCs w:val="32"/>
        </w:rPr>
        <w:t>3</w:t>
      </w:r>
      <w:r>
        <w:rPr>
          <w:rFonts w:hint="default" w:ascii="Calibri" w:hAnsi="Calibri" w:cs="Calibri"/>
          <w:b/>
          <w:bCs/>
          <w:color w:val="2E4A7A"/>
          <w:sz w:val="32"/>
          <w:szCs w:val="32"/>
          <w:lang w:val="en-US"/>
        </w:rPr>
        <w:t xml:space="preserve">. </w:t>
      </w:r>
      <w:r>
        <w:rPr>
          <w:rFonts w:hint="default" w:ascii="Calibri" w:hAnsi="Calibri" w:eastAsia="Arial" w:cs="Calibri"/>
          <w:b/>
          <w:bCs/>
          <w:color w:val="2E4A7A"/>
          <w:sz w:val="32"/>
          <w:szCs w:val="32"/>
        </w:rPr>
        <w:t>Results and Discussion</w:t>
      </w:r>
    </w:p>
    <w:p w14:paraId="7CE7FF5D">
      <w:pPr>
        <w:pStyle w:val="3"/>
        <w:spacing w:before="220" w:after="100"/>
        <w:rPr>
          <w:rFonts w:hint="default" w:ascii="Calibri" w:hAnsi="Calibri" w:cs="Calibri"/>
          <w:b/>
          <w:bCs/>
          <w:color w:val="auto"/>
          <w:sz w:val="24"/>
          <w:szCs w:val="24"/>
          <w:lang w:val="en-US"/>
        </w:rPr>
      </w:pPr>
      <w:r>
        <w:rPr>
          <w:rFonts w:hint="default" w:ascii="Calibri" w:hAnsi="Calibri" w:eastAsia="Arial" w:cs="Calibri"/>
          <w:b/>
          <w:bCs/>
          <w:color w:val="auto"/>
          <w:sz w:val="24"/>
          <w:szCs w:val="24"/>
        </w:rPr>
        <w:t xml:space="preserve">3.1 Active Site Residues of </w:t>
      </w:r>
      <w:r>
        <w:rPr>
          <w:rFonts w:hint="default" w:ascii="Calibri" w:hAnsi="Calibri" w:cs="Calibri"/>
          <w:b/>
          <w:bCs/>
          <w:color w:val="auto"/>
          <w:sz w:val="24"/>
          <w:szCs w:val="24"/>
          <w:lang w:val="en-US"/>
        </w:rPr>
        <w:t>PfPGM1</w:t>
      </w:r>
    </w:p>
    <w:p w14:paraId="794DEA0C">
      <w:pPr>
        <w:spacing w:before="80" w:after="80" w:line="276" w:lineRule="auto"/>
        <w:jc w:val="both"/>
        <w:rPr>
          <w:rFonts w:hint="default" w:ascii="Calibri" w:hAnsi="Calibri" w:eastAsia="Arial" w:cs="Calibri"/>
          <w:sz w:val="20"/>
          <w:szCs w:val="20"/>
          <w:lang w:val="en-US"/>
        </w:rPr>
      </w:pPr>
      <w:r>
        <w:rPr>
          <w:rFonts w:hint="default" w:ascii="Calibri" w:hAnsi="Calibri" w:cs="Calibri"/>
          <w:sz w:val="20"/>
          <w:szCs w:val="20"/>
          <w:lang w:val="en-US"/>
        </w:rPr>
        <w:t>Through a</w:t>
      </w:r>
      <w:r>
        <w:rPr>
          <w:rFonts w:hint="default" w:ascii="Calibri" w:hAnsi="Calibri" w:eastAsia="Arial" w:cs="Calibri"/>
          <w:sz w:val="20"/>
          <w:szCs w:val="20"/>
        </w:rPr>
        <w:t xml:space="preserve"> homology-based a</w:t>
      </w:r>
      <w:r>
        <w:rPr>
          <w:rFonts w:hint="default" w:ascii="Calibri" w:hAnsi="Calibri" w:cs="Calibri"/>
          <w:sz w:val="20"/>
          <w:szCs w:val="20"/>
          <w:lang w:val="en-US"/>
        </w:rPr>
        <w:t>nalysis</w:t>
      </w:r>
      <w:r>
        <w:rPr>
          <w:rFonts w:hint="default" w:ascii="Calibri" w:hAnsi="Calibri" w:eastAsia="Arial" w:cs="Calibri"/>
          <w:sz w:val="20"/>
          <w:szCs w:val="20"/>
        </w:rPr>
        <w:t>,</w:t>
      </w:r>
      <w:r>
        <w:rPr>
          <w:rFonts w:hint="default" w:ascii="Calibri" w:hAnsi="Calibri" w:cs="Calibri"/>
          <w:sz w:val="20"/>
          <w:szCs w:val="20"/>
          <w:lang w:val="en-US"/>
        </w:rPr>
        <w:t xml:space="preserve"> </w:t>
      </w:r>
      <w:r>
        <w:rPr>
          <w:rFonts w:hint="default" w:ascii="Calibri" w:hAnsi="Calibri" w:eastAsia="Arial" w:cs="Calibri"/>
          <w:sz w:val="20"/>
          <w:szCs w:val="20"/>
        </w:rPr>
        <w:t xml:space="preserve">seven </w:t>
      </w:r>
      <w:r>
        <w:rPr>
          <w:rFonts w:hint="default" w:ascii="Calibri" w:hAnsi="Calibri" w:cs="Calibri"/>
          <w:sz w:val="20"/>
          <w:szCs w:val="20"/>
          <w:lang w:val="en-US"/>
        </w:rPr>
        <w:t xml:space="preserve">probable </w:t>
      </w:r>
      <w:r>
        <w:rPr>
          <w:rFonts w:hint="default" w:ascii="Calibri" w:hAnsi="Calibri" w:eastAsia="Arial" w:cs="Calibri"/>
          <w:sz w:val="20"/>
          <w:szCs w:val="20"/>
        </w:rPr>
        <w:t>active site residues</w:t>
      </w:r>
      <w:r>
        <w:rPr>
          <w:rFonts w:hint="default" w:ascii="Calibri" w:hAnsi="Calibri" w:cs="Calibri"/>
          <w:sz w:val="20"/>
          <w:szCs w:val="20"/>
          <w:lang w:val="en-US"/>
        </w:rPr>
        <w:t xml:space="preserve"> were identified</w:t>
      </w:r>
      <w:r>
        <w:rPr>
          <w:rFonts w:hint="default" w:ascii="Calibri" w:hAnsi="Calibri" w:eastAsia="Arial" w:cs="Calibri"/>
          <w:sz w:val="20"/>
          <w:szCs w:val="20"/>
        </w:rPr>
        <w:t xml:space="preserve"> in </w:t>
      </w:r>
      <w:r>
        <w:rPr>
          <w:rFonts w:hint="default" w:ascii="Calibri" w:hAnsi="Calibri" w:cs="Calibri"/>
          <w:sz w:val="20"/>
          <w:szCs w:val="20"/>
          <w:lang w:val="en-US"/>
        </w:rPr>
        <w:t>PfPGM1</w:t>
      </w:r>
      <w:r>
        <w:rPr>
          <w:rFonts w:hint="default" w:ascii="Calibri" w:hAnsi="Calibri" w:eastAsia="Arial" w:cs="Calibri"/>
          <w:sz w:val="20"/>
          <w:szCs w:val="20"/>
        </w:rPr>
        <w:t xml:space="preserve"> (1XQ9): Arg18, His19, Asn25, Thr31, Tyr100, His192, and Asn194. These</w:t>
      </w:r>
      <w:r>
        <w:rPr>
          <w:rFonts w:hint="default" w:ascii="Calibri" w:hAnsi="Calibri" w:cs="Calibri"/>
          <w:sz w:val="20"/>
          <w:szCs w:val="20"/>
          <w:lang w:val="en-US"/>
        </w:rPr>
        <w:t xml:space="preserve"> residues were determined by combining structural alignment with the reference protein</w:t>
      </w:r>
      <w:r>
        <w:rPr>
          <w:rFonts w:hint="default" w:ascii="Calibri" w:hAnsi="Calibri" w:eastAsia="Arial" w:cs="Calibri"/>
          <w:sz w:val="20"/>
          <w:szCs w:val="20"/>
        </w:rPr>
        <w:t xml:space="preserve"> 4ODI and SiteMap pocket prediction (Site Score = 1.07, Dscore = 0.902). </w:t>
      </w:r>
      <w:r>
        <w:rPr>
          <w:rFonts w:hint="default" w:ascii="Calibri" w:hAnsi="Calibri" w:cs="Calibri"/>
          <w:sz w:val="20"/>
          <w:szCs w:val="20"/>
          <w:lang w:val="en-US"/>
        </w:rPr>
        <w:t xml:space="preserve">Although </w:t>
      </w:r>
      <w:r>
        <w:rPr>
          <w:rFonts w:hint="default" w:ascii="Calibri" w:hAnsi="Calibri" w:eastAsia="Arial" w:cs="Calibri"/>
          <w:sz w:val="20"/>
          <w:szCs w:val="20"/>
        </w:rPr>
        <w:t>Glu97</w:t>
      </w:r>
      <w:r>
        <w:rPr>
          <w:rFonts w:hint="default" w:ascii="Calibri" w:hAnsi="Calibri" w:cs="Calibri"/>
          <w:sz w:val="20"/>
          <w:szCs w:val="20"/>
          <w:lang w:val="en-US"/>
        </w:rPr>
        <w:t xml:space="preserve"> was initially mapped </w:t>
      </w:r>
      <w:r>
        <w:rPr>
          <w:rFonts w:hint="default" w:ascii="Calibri" w:hAnsi="Calibri" w:eastAsia="Arial" w:cs="Calibri"/>
          <w:sz w:val="20"/>
          <w:szCs w:val="20"/>
        </w:rPr>
        <w:t>from the reference protein,</w:t>
      </w:r>
      <w:r>
        <w:rPr>
          <w:rFonts w:hint="default" w:ascii="Calibri" w:hAnsi="Calibri" w:cs="Calibri"/>
          <w:sz w:val="20"/>
          <w:szCs w:val="20"/>
          <w:lang w:val="en-US"/>
        </w:rPr>
        <w:t xml:space="preserve"> it</w:t>
      </w:r>
      <w:r>
        <w:rPr>
          <w:rFonts w:hint="default" w:ascii="Calibri" w:hAnsi="Calibri" w:eastAsia="Arial" w:cs="Calibri"/>
          <w:sz w:val="20"/>
          <w:szCs w:val="20"/>
        </w:rPr>
        <w:t xml:space="preserve"> was not </w:t>
      </w:r>
      <w:r>
        <w:rPr>
          <w:rFonts w:hint="default" w:ascii="Calibri" w:hAnsi="Calibri" w:cs="Calibri"/>
          <w:sz w:val="20"/>
          <w:szCs w:val="20"/>
          <w:lang w:val="en-US"/>
        </w:rPr>
        <w:t xml:space="preserve">located </w:t>
      </w:r>
      <w:r>
        <w:rPr>
          <w:rFonts w:hint="default" w:ascii="Calibri" w:hAnsi="Calibri" w:eastAsia="Arial" w:cs="Calibri"/>
          <w:sz w:val="20"/>
          <w:szCs w:val="20"/>
        </w:rPr>
        <w:t>within the</w:t>
      </w:r>
      <w:r>
        <w:rPr>
          <w:rFonts w:hint="default" w:ascii="Calibri" w:hAnsi="Calibri" w:cs="Calibri"/>
          <w:sz w:val="20"/>
          <w:szCs w:val="20"/>
          <w:lang w:val="en-US"/>
        </w:rPr>
        <w:t xml:space="preserve"> predicted binding pocket and was therefore excluded from the final set. The identified residues collectively form a </w:t>
      </w:r>
      <w:r>
        <w:rPr>
          <w:rFonts w:hint="default" w:ascii="Calibri" w:hAnsi="Calibri" w:eastAsia="Arial" w:cs="Calibri"/>
          <w:sz w:val="20"/>
          <w:szCs w:val="20"/>
        </w:rPr>
        <w:t>ell-defined</w:t>
      </w:r>
      <w:r>
        <w:rPr>
          <w:rFonts w:hint="default" w:ascii="Calibri" w:hAnsi="Calibri" w:cs="Calibri"/>
          <w:sz w:val="20"/>
          <w:szCs w:val="20"/>
          <w:lang w:val="en-US"/>
        </w:rPr>
        <w:t xml:space="preserve"> with favorable drug-binding characteristics.This pocket is consistent with the catalytic features typically observed in cofactor- independent Phosphoglycerate mutases, particularly those involving histidine- mediated mechanisms.</w:t>
      </w:r>
    </w:p>
    <w:p w14:paraId="469515F6">
      <w:pPr>
        <w:spacing w:before="80" w:after="80" w:line="276" w:lineRule="auto"/>
        <w:jc w:val="center"/>
        <w:rPr>
          <w:rFonts w:hint="default" w:ascii="Calibri" w:hAnsi="Calibri" w:cs="Calibri"/>
          <w:sz w:val="20"/>
          <w:szCs w:val="20"/>
        </w:rPr>
      </w:pPr>
      <w:r>
        <w:rPr>
          <w:rFonts w:hint="default" w:ascii="Calibri" w:hAnsi="Calibri" w:cs="Calibri"/>
          <w:sz w:val="20"/>
          <w:szCs w:val="20"/>
        </w:rPr>
        <w:drawing>
          <wp:inline distT="0" distB="0" distL="0" distR="0">
            <wp:extent cx="3810000" cy="1714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rcRect/>
                    <a:stretch>
                      <a:fillRect/>
                    </a:stretch>
                  </pic:blipFill>
                  <pic:spPr>
                    <a:xfrm>
                      <a:off x="0" y="0"/>
                      <a:ext cx="3810000" cy="1714500"/>
                    </a:xfrm>
                    <a:prstGeom prst="rect">
                      <a:avLst/>
                    </a:prstGeom>
                  </pic:spPr>
                </pic:pic>
              </a:graphicData>
            </a:graphic>
          </wp:inline>
        </w:drawing>
      </w:r>
    </w:p>
    <w:p w14:paraId="71B6C261">
      <w:pPr>
        <w:spacing w:before="40" w:after="140"/>
        <w:jc w:val="center"/>
        <w:rPr>
          <w:rFonts w:hint="default" w:ascii="Calibri" w:hAnsi="Calibri" w:eastAsia="Arial" w:cs="Calibri"/>
          <w:b/>
          <w:bCs/>
          <w:color w:val="1F3A6B"/>
          <w:sz w:val="20"/>
          <w:szCs w:val="20"/>
        </w:rPr>
      </w:pPr>
      <w:r>
        <w:rPr>
          <w:rFonts w:hint="default" w:ascii="Calibri" w:hAnsi="Calibri" w:eastAsia="Arial" w:cs="Calibri"/>
          <w:i/>
          <w:iCs/>
          <w:color w:val="555555"/>
          <w:sz w:val="20"/>
          <w:szCs w:val="20"/>
        </w:rPr>
        <w:t xml:space="preserve">Figure </w:t>
      </w:r>
      <w:r>
        <w:rPr>
          <w:rFonts w:hint="default" w:ascii="Calibri" w:hAnsi="Calibri" w:cs="Calibri"/>
          <w:i/>
          <w:iCs/>
          <w:color w:val="555555"/>
          <w:sz w:val="20"/>
          <w:szCs w:val="20"/>
          <w:lang w:val="en-US"/>
        </w:rPr>
        <w:t>6</w:t>
      </w:r>
      <w:r>
        <w:rPr>
          <w:rFonts w:hint="default" w:ascii="Calibri" w:hAnsi="Calibri" w:eastAsia="Arial" w:cs="Calibri"/>
          <w:i/>
          <w:iCs/>
          <w:color w:val="555555"/>
          <w:sz w:val="20"/>
          <w:szCs w:val="20"/>
        </w:rPr>
        <w:t>: Published active site residues from the reference protein 4ODI (Joseph et al., 2018) used in this study.</w:t>
      </w:r>
    </w:p>
    <w:p w14:paraId="43DEB1CB">
      <w:pPr>
        <w:numPr>
          <w:ilvl w:val="0"/>
          <w:numId w:val="0"/>
        </w:numPr>
        <w:jc w:val="left"/>
        <w:rPr>
          <w:rFonts w:hint="default" w:ascii="Calibri" w:hAnsi="Calibri" w:cs="Calibri"/>
          <w:sz w:val="20"/>
          <w:szCs w:val="20"/>
          <w:lang w:val="en-US" w:eastAsia="en-GB"/>
        </w:rPr>
      </w:pPr>
    </w:p>
    <w:p w14:paraId="0AB10A1D">
      <w:pPr>
        <w:numPr>
          <w:ilvl w:val="0"/>
          <w:numId w:val="0"/>
        </w:numPr>
        <w:jc w:val="left"/>
        <w:rPr>
          <w:rFonts w:hint="default" w:ascii="Calibri" w:hAnsi="Calibri" w:cs="Calibri"/>
          <w:b/>
          <w:bCs/>
          <w:sz w:val="24"/>
          <w:szCs w:val="24"/>
          <w:lang w:val="en-US" w:eastAsia="en-GB"/>
        </w:rPr>
      </w:pPr>
      <w:r>
        <w:rPr>
          <w:rFonts w:hint="default" w:ascii="Calibri" w:hAnsi="Calibri" w:cs="Calibri"/>
          <w:b/>
          <w:bCs/>
          <w:sz w:val="24"/>
          <w:szCs w:val="24"/>
          <w:lang w:val="en-US" w:eastAsia="en-GB"/>
        </w:rPr>
        <w:t>3.2 AutoDock Vina- Molecular Docking Results</w:t>
      </w:r>
    </w:p>
    <w:p w14:paraId="17C0F28C">
      <w:pPr>
        <w:numPr>
          <w:ilvl w:val="0"/>
          <w:numId w:val="0"/>
        </w:numPr>
        <w:jc w:val="left"/>
        <w:rPr>
          <w:rFonts w:hint="default" w:ascii="Calibri" w:hAnsi="Calibri" w:cs="Calibri"/>
          <w:sz w:val="20"/>
          <w:szCs w:val="20"/>
          <w:lang w:val="en-US" w:eastAsia="en-GB"/>
        </w:rPr>
      </w:pPr>
    </w:p>
    <w:p w14:paraId="791AC30C">
      <w:pPr>
        <w:spacing w:before="80" w:after="80" w:line="276" w:lineRule="auto"/>
        <w:jc w:val="both"/>
        <w:rPr>
          <w:rFonts w:hint="default" w:ascii="Calibri" w:hAnsi="Calibri" w:eastAsia="Arial" w:cs="Calibri"/>
          <w:sz w:val="20"/>
          <w:szCs w:val="20"/>
          <w:lang w:val="en-US"/>
        </w:rPr>
      </w:pPr>
      <w:r>
        <w:rPr>
          <w:rFonts w:hint="default" w:ascii="Calibri" w:hAnsi="Calibri" w:cs="Calibri"/>
          <w:sz w:val="20"/>
          <w:szCs w:val="20"/>
          <w:lang w:val="en-US"/>
        </w:rPr>
        <w:t xml:space="preserve">Following the docking of a phytochemical library with 64 compounds against the predicted active site, the top 10 candidates were selected based on their binding affinity scores. </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1"/>
        <w:gridCol w:w="1635"/>
        <w:gridCol w:w="682"/>
        <w:gridCol w:w="2801"/>
        <w:gridCol w:w="2283"/>
      </w:tblGrid>
      <w:tr w14:paraId="70586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tcPr>
          <w:p w14:paraId="407A00C7">
            <w:pPr>
              <w:widowControl w:val="0"/>
              <w:numPr>
                <w:ilvl w:val="0"/>
                <w:numId w:val="0"/>
              </w:numPr>
              <w:jc w:val="center"/>
              <w:rPr>
                <w:rFonts w:hint="default" w:ascii="Calibri" w:hAnsi="Calibri" w:cs="Calibri"/>
                <w:b/>
                <w:bCs/>
                <w:sz w:val="18"/>
                <w:szCs w:val="18"/>
                <w:shd w:val="clear" w:color="auto" w:fill="auto"/>
                <w:vertAlign w:val="baseline"/>
                <w:lang w:val="en-US" w:eastAsia="en-GB"/>
              </w:rPr>
            </w:pPr>
            <w:r>
              <w:rPr>
                <w:rFonts w:hint="default" w:ascii="Calibri" w:hAnsi="Calibri" w:cs="Calibri"/>
                <w:b/>
                <w:bCs/>
                <w:sz w:val="18"/>
                <w:szCs w:val="18"/>
                <w:shd w:val="clear" w:color="auto" w:fill="auto"/>
                <w:vertAlign w:val="baseline"/>
                <w:lang w:val="en-US" w:eastAsia="en-GB"/>
              </w:rPr>
              <w:t>Compound</w:t>
            </w:r>
          </w:p>
        </w:tc>
        <w:tc>
          <w:tcPr>
            <w:tcW w:w="1635" w:type="dxa"/>
          </w:tcPr>
          <w:p w14:paraId="07B9A1ED">
            <w:pPr>
              <w:widowControl w:val="0"/>
              <w:numPr>
                <w:ilvl w:val="0"/>
                <w:numId w:val="0"/>
              </w:numPr>
              <w:jc w:val="center"/>
              <w:rPr>
                <w:rFonts w:hint="default" w:ascii="Calibri" w:hAnsi="Calibri" w:cs="Calibri"/>
                <w:b/>
                <w:bCs/>
                <w:sz w:val="18"/>
                <w:szCs w:val="18"/>
                <w:shd w:val="clear" w:color="auto" w:fill="auto"/>
                <w:vertAlign w:val="baseline"/>
                <w:lang w:val="en-US" w:eastAsia="en-GB"/>
              </w:rPr>
            </w:pPr>
            <w:r>
              <w:rPr>
                <w:rFonts w:hint="default" w:ascii="Calibri" w:hAnsi="Calibri" w:cs="Calibri"/>
                <w:b/>
                <w:bCs/>
                <w:sz w:val="18"/>
                <w:szCs w:val="18"/>
                <w:shd w:val="clear" w:color="auto" w:fill="auto"/>
                <w:vertAlign w:val="baseline"/>
                <w:lang w:val="en-US" w:eastAsia="en-GB"/>
              </w:rPr>
              <w:t>Name</w:t>
            </w:r>
          </w:p>
        </w:tc>
        <w:tc>
          <w:tcPr>
            <w:tcW w:w="682" w:type="dxa"/>
          </w:tcPr>
          <w:p w14:paraId="4B5F3241">
            <w:pPr>
              <w:widowControl w:val="0"/>
              <w:numPr>
                <w:ilvl w:val="0"/>
                <w:numId w:val="0"/>
              </w:numPr>
              <w:jc w:val="center"/>
              <w:rPr>
                <w:rFonts w:hint="default" w:ascii="Calibri" w:hAnsi="Calibri" w:cs="Calibri"/>
                <w:b/>
                <w:bCs/>
                <w:sz w:val="18"/>
                <w:szCs w:val="18"/>
                <w:shd w:val="clear" w:color="auto" w:fill="auto"/>
                <w:vertAlign w:val="baseline"/>
                <w:lang w:val="en-US" w:eastAsia="en-GB"/>
              </w:rPr>
            </w:pPr>
            <w:r>
              <w:rPr>
                <w:rFonts w:hint="default" w:ascii="Calibri" w:hAnsi="Calibri" w:cs="Calibri"/>
                <w:b/>
                <w:bCs/>
                <w:sz w:val="18"/>
                <w:szCs w:val="18"/>
                <w:shd w:val="clear" w:color="auto" w:fill="auto"/>
                <w:vertAlign w:val="baseline"/>
                <w:lang w:val="en-US" w:eastAsia="en-GB"/>
              </w:rPr>
              <w:t>Dock Score</w:t>
            </w:r>
          </w:p>
        </w:tc>
        <w:tc>
          <w:tcPr>
            <w:tcW w:w="2801" w:type="dxa"/>
          </w:tcPr>
          <w:p w14:paraId="5AA5CFAF">
            <w:pPr>
              <w:widowControl w:val="0"/>
              <w:numPr>
                <w:ilvl w:val="0"/>
                <w:numId w:val="0"/>
              </w:numPr>
              <w:jc w:val="center"/>
              <w:rPr>
                <w:rFonts w:hint="default" w:ascii="Calibri" w:hAnsi="Calibri" w:cs="Calibri"/>
                <w:b/>
                <w:bCs/>
                <w:sz w:val="18"/>
                <w:szCs w:val="18"/>
                <w:shd w:val="clear" w:color="auto" w:fill="auto"/>
                <w:vertAlign w:val="baseline"/>
                <w:lang w:val="en-US" w:eastAsia="en-GB"/>
              </w:rPr>
            </w:pPr>
            <w:r>
              <w:rPr>
                <w:rFonts w:hint="default" w:ascii="Calibri" w:hAnsi="Calibri" w:cs="Calibri"/>
                <w:b/>
                <w:bCs/>
                <w:sz w:val="18"/>
                <w:szCs w:val="18"/>
                <w:shd w:val="clear" w:color="auto" w:fill="auto"/>
                <w:vertAlign w:val="baseline"/>
                <w:lang w:val="en-US" w:eastAsia="en-GB"/>
              </w:rPr>
              <w:t>PyMOL 3D</w:t>
            </w:r>
          </w:p>
        </w:tc>
        <w:tc>
          <w:tcPr>
            <w:tcW w:w="2283" w:type="dxa"/>
          </w:tcPr>
          <w:p w14:paraId="432EDD59">
            <w:pPr>
              <w:widowControl w:val="0"/>
              <w:numPr>
                <w:ilvl w:val="0"/>
                <w:numId w:val="0"/>
              </w:numPr>
              <w:jc w:val="center"/>
              <w:rPr>
                <w:rFonts w:hint="default" w:ascii="Calibri" w:hAnsi="Calibri" w:cs="Calibri"/>
                <w:b/>
                <w:bCs/>
                <w:sz w:val="18"/>
                <w:szCs w:val="18"/>
                <w:shd w:val="clear" w:color="auto" w:fill="auto"/>
                <w:vertAlign w:val="baseline"/>
                <w:lang w:val="en-US" w:eastAsia="en-GB"/>
              </w:rPr>
            </w:pPr>
            <w:r>
              <w:rPr>
                <w:rFonts w:hint="default" w:ascii="Calibri" w:hAnsi="Calibri" w:cs="Calibri"/>
                <w:b/>
                <w:bCs/>
                <w:sz w:val="18"/>
                <w:szCs w:val="18"/>
                <w:shd w:val="clear" w:color="auto" w:fill="auto"/>
                <w:vertAlign w:val="baseline"/>
                <w:lang w:val="en-US" w:eastAsia="en-GB"/>
              </w:rPr>
              <w:t>Hydrogen Bonding</w:t>
            </w:r>
          </w:p>
        </w:tc>
      </w:tr>
      <w:tr w14:paraId="4CBFF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tcPr>
          <w:p w14:paraId="09DE9B66">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AD53</w:t>
            </w:r>
          </w:p>
        </w:tc>
        <w:tc>
          <w:tcPr>
            <w:tcW w:w="1635" w:type="dxa"/>
          </w:tcPr>
          <w:p w14:paraId="6E211167">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Tectograndone</w:t>
            </w:r>
          </w:p>
        </w:tc>
        <w:tc>
          <w:tcPr>
            <w:tcW w:w="682" w:type="dxa"/>
          </w:tcPr>
          <w:p w14:paraId="68AD5627">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-10.68</w:t>
            </w:r>
          </w:p>
        </w:tc>
        <w:tc>
          <w:tcPr>
            <w:tcW w:w="2801" w:type="dxa"/>
          </w:tcPr>
          <w:p w14:paraId="0B09362E">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20"/>
                <w:szCs w:val="20"/>
              </w:rPr>
              <w:drawing>
                <wp:inline distT="0" distB="0" distL="114300" distR="114300">
                  <wp:extent cx="1677670" cy="998855"/>
                  <wp:effectExtent l="0" t="0" r="11430" b="4445"/>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referRelativeResize="0"/>
                        </pic:nvPicPr>
                        <pic:blipFill>
                          <a:blip r:embed="rId14" cstate="print"/>
                          <a:stretch>
                            <a:fillRect/>
                          </a:stretch>
                        </pic:blipFill>
                        <pic:spPr>
                          <a:xfrm>
                            <a:off x="0" y="0"/>
                            <a:ext cx="1677670" cy="998855"/>
                          </a:xfrm>
                          <a:prstGeom prst="rect">
                            <a:avLst/>
                          </a:prstGeom>
                          <a:noFill/>
                        </pic:spPr>
                      </pic:pic>
                    </a:graphicData>
                  </a:graphic>
                </wp:inline>
              </w:drawing>
            </w:r>
          </w:p>
        </w:tc>
        <w:tc>
          <w:tcPr>
            <w:tcW w:w="2283" w:type="dxa"/>
          </w:tcPr>
          <w:p w14:paraId="3BBF3C17">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22,97,100,195</w:t>
            </w:r>
          </w:p>
        </w:tc>
      </w:tr>
      <w:tr w14:paraId="683AA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tcPr>
          <w:p w14:paraId="08FC07F0">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AD32</w:t>
            </w:r>
          </w:p>
        </w:tc>
        <w:tc>
          <w:tcPr>
            <w:tcW w:w="1635" w:type="dxa"/>
          </w:tcPr>
          <w:p w14:paraId="537053FE">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scutianthraquinone D</w:t>
            </w:r>
          </w:p>
        </w:tc>
        <w:tc>
          <w:tcPr>
            <w:tcW w:w="682" w:type="dxa"/>
          </w:tcPr>
          <w:p w14:paraId="539ECD41">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-10.12</w:t>
            </w:r>
          </w:p>
        </w:tc>
        <w:tc>
          <w:tcPr>
            <w:tcW w:w="2801" w:type="dxa"/>
          </w:tcPr>
          <w:p w14:paraId="38790BB2">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20"/>
                <w:szCs w:val="20"/>
              </w:rPr>
              <w:drawing>
                <wp:inline distT="0" distB="0" distL="114300" distR="114300">
                  <wp:extent cx="1796415" cy="1069975"/>
                  <wp:effectExtent l="0" t="0" r="6985" b="9525"/>
                  <wp:docPr id="11" name="image3.png"/>
                  <wp:cNvGraphicFramePr/>
                  <a:graphic xmlns:a="http://schemas.openxmlformats.org/drawingml/2006/main">
                    <a:graphicData uri="http://schemas.openxmlformats.org/drawingml/2006/picture">
                      <pic:pic xmlns:pic="http://schemas.openxmlformats.org/drawingml/2006/picture">
                        <pic:nvPicPr>
                          <pic:cNvPr id="11" name="image3.png"/>
                          <pic:cNvPicPr preferRelativeResize="0"/>
                        </pic:nvPicPr>
                        <pic:blipFill>
                          <a:blip r:embed="rId15" cstate="print"/>
                          <a:stretch>
                            <a:fillRect/>
                          </a:stretch>
                        </pic:blipFill>
                        <pic:spPr>
                          <a:xfrm>
                            <a:off x="0" y="0"/>
                            <a:ext cx="1796415" cy="1069975"/>
                          </a:xfrm>
                          <a:prstGeom prst="rect">
                            <a:avLst/>
                          </a:prstGeom>
                          <a:noFill/>
                        </pic:spPr>
                      </pic:pic>
                    </a:graphicData>
                  </a:graphic>
                </wp:inline>
              </w:drawing>
            </w:r>
          </w:p>
        </w:tc>
        <w:tc>
          <w:tcPr>
            <w:tcW w:w="2283" w:type="dxa"/>
          </w:tcPr>
          <w:p w14:paraId="0EAA546E">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124,125,197,215</w:t>
            </w:r>
          </w:p>
        </w:tc>
      </w:tr>
      <w:tr w14:paraId="5A025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tcPr>
          <w:p w14:paraId="62E63946">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AD54</w:t>
            </w:r>
          </w:p>
        </w:tc>
        <w:tc>
          <w:tcPr>
            <w:tcW w:w="1635" w:type="dxa"/>
          </w:tcPr>
          <w:p w14:paraId="2F3C5D7E">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acetyltectograndone</w:t>
            </w:r>
          </w:p>
        </w:tc>
        <w:tc>
          <w:tcPr>
            <w:tcW w:w="682" w:type="dxa"/>
          </w:tcPr>
          <w:p w14:paraId="1FEC34F5">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-10.01</w:t>
            </w:r>
          </w:p>
        </w:tc>
        <w:tc>
          <w:tcPr>
            <w:tcW w:w="2801" w:type="dxa"/>
          </w:tcPr>
          <w:p w14:paraId="06F1607B">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20"/>
                <w:szCs w:val="20"/>
              </w:rPr>
              <w:drawing>
                <wp:inline distT="0" distB="0" distL="114300" distR="114300">
                  <wp:extent cx="1821815" cy="1127760"/>
                  <wp:effectExtent l="0" t="0" r="6985" b="2540"/>
                  <wp:docPr id="12" name="image8.png"/>
                  <wp:cNvGraphicFramePr/>
                  <a:graphic xmlns:a="http://schemas.openxmlformats.org/drawingml/2006/main">
                    <a:graphicData uri="http://schemas.openxmlformats.org/drawingml/2006/picture">
                      <pic:pic xmlns:pic="http://schemas.openxmlformats.org/drawingml/2006/picture">
                        <pic:nvPicPr>
                          <pic:cNvPr id="12" name="image8.png"/>
                          <pic:cNvPicPr preferRelativeResize="0"/>
                        </pic:nvPicPr>
                        <pic:blipFill>
                          <a:blip r:embed="rId16" cstate="print"/>
                          <a:stretch>
                            <a:fillRect/>
                          </a:stretch>
                        </pic:blipFill>
                        <pic:spPr>
                          <a:xfrm>
                            <a:off x="0" y="0"/>
                            <a:ext cx="1821815" cy="1127760"/>
                          </a:xfrm>
                          <a:prstGeom prst="rect">
                            <a:avLst/>
                          </a:prstGeom>
                          <a:noFill/>
                        </pic:spPr>
                      </pic:pic>
                    </a:graphicData>
                  </a:graphic>
                </wp:inline>
              </w:drawing>
            </w:r>
          </w:p>
        </w:tc>
        <w:tc>
          <w:tcPr>
            <w:tcW w:w="2283" w:type="dxa"/>
          </w:tcPr>
          <w:p w14:paraId="6CD37043">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18,22,97,100,108,124</w:t>
            </w:r>
          </w:p>
        </w:tc>
      </w:tr>
      <w:tr w14:paraId="1B1B3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tcPr>
          <w:p w14:paraId="0B4904CC">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AD49</w:t>
            </w:r>
          </w:p>
        </w:tc>
        <w:tc>
          <w:tcPr>
            <w:tcW w:w="1635" w:type="dxa"/>
          </w:tcPr>
          <w:p w14:paraId="4E79D51F">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Microcarpine</w:t>
            </w:r>
          </w:p>
        </w:tc>
        <w:tc>
          <w:tcPr>
            <w:tcW w:w="682" w:type="dxa"/>
          </w:tcPr>
          <w:p w14:paraId="0C44A483">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-9.542</w:t>
            </w:r>
          </w:p>
        </w:tc>
        <w:tc>
          <w:tcPr>
            <w:tcW w:w="2801" w:type="dxa"/>
          </w:tcPr>
          <w:p w14:paraId="720CC814">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20"/>
                <w:szCs w:val="20"/>
              </w:rPr>
              <w:drawing>
                <wp:inline distT="0" distB="0" distL="114300" distR="114300">
                  <wp:extent cx="1758315" cy="1113155"/>
                  <wp:effectExtent l="0" t="0" r="6985" b="4445"/>
                  <wp:docPr id="13" name="image6.png"/>
                  <wp:cNvGraphicFramePr/>
                  <a:graphic xmlns:a="http://schemas.openxmlformats.org/drawingml/2006/main">
                    <a:graphicData uri="http://schemas.openxmlformats.org/drawingml/2006/picture">
                      <pic:pic xmlns:pic="http://schemas.openxmlformats.org/drawingml/2006/picture">
                        <pic:nvPicPr>
                          <pic:cNvPr id="13" name="image6.png"/>
                          <pic:cNvPicPr preferRelativeResize="0"/>
                        </pic:nvPicPr>
                        <pic:blipFill>
                          <a:blip r:embed="rId17" cstate="print"/>
                          <a:stretch>
                            <a:fillRect/>
                          </a:stretch>
                        </pic:blipFill>
                        <pic:spPr>
                          <a:xfrm>
                            <a:off x="0" y="0"/>
                            <a:ext cx="1758315" cy="1113155"/>
                          </a:xfrm>
                          <a:prstGeom prst="rect">
                            <a:avLst/>
                          </a:prstGeom>
                          <a:noFill/>
                        </pic:spPr>
                      </pic:pic>
                    </a:graphicData>
                  </a:graphic>
                </wp:inline>
              </w:drawing>
            </w:r>
          </w:p>
        </w:tc>
        <w:tc>
          <w:tcPr>
            <w:tcW w:w="2283" w:type="dxa"/>
          </w:tcPr>
          <w:p w14:paraId="7E2A6CBC">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18,98,212,215</w:t>
            </w:r>
          </w:p>
        </w:tc>
      </w:tr>
      <w:tr w14:paraId="62847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tcPr>
          <w:p w14:paraId="6DE45C23">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AD27</w:t>
            </w:r>
          </w:p>
        </w:tc>
        <w:tc>
          <w:tcPr>
            <w:tcW w:w="1635" w:type="dxa"/>
          </w:tcPr>
          <w:p w14:paraId="4C44D625">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Aloin</w:t>
            </w:r>
          </w:p>
        </w:tc>
        <w:tc>
          <w:tcPr>
            <w:tcW w:w="682" w:type="dxa"/>
          </w:tcPr>
          <w:p w14:paraId="4E821828">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-9.371</w:t>
            </w:r>
          </w:p>
        </w:tc>
        <w:tc>
          <w:tcPr>
            <w:tcW w:w="2801" w:type="dxa"/>
          </w:tcPr>
          <w:p w14:paraId="1ED4A58E">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20"/>
                <w:szCs w:val="20"/>
              </w:rPr>
              <w:drawing>
                <wp:inline distT="0" distB="0" distL="114300" distR="114300">
                  <wp:extent cx="1821180" cy="1126490"/>
                  <wp:effectExtent l="0" t="0" r="7620" b="3810"/>
                  <wp:docPr id="14" name="image2.png"/>
                  <wp:cNvGraphicFramePr/>
                  <a:graphic xmlns:a="http://schemas.openxmlformats.org/drawingml/2006/main">
                    <a:graphicData uri="http://schemas.openxmlformats.org/drawingml/2006/picture">
                      <pic:pic xmlns:pic="http://schemas.openxmlformats.org/drawingml/2006/picture">
                        <pic:nvPicPr>
                          <pic:cNvPr id="14" name="image2.png"/>
                          <pic:cNvPicPr preferRelativeResize="0"/>
                        </pic:nvPicPr>
                        <pic:blipFill>
                          <a:blip r:embed="rId18" cstate="print"/>
                          <a:stretch>
                            <a:fillRect/>
                          </a:stretch>
                        </pic:blipFill>
                        <pic:spPr>
                          <a:xfrm>
                            <a:off x="0" y="0"/>
                            <a:ext cx="1821180" cy="1126490"/>
                          </a:xfrm>
                          <a:prstGeom prst="rect">
                            <a:avLst/>
                          </a:prstGeom>
                          <a:noFill/>
                        </pic:spPr>
                      </pic:pic>
                    </a:graphicData>
                  </a:graphic>
                </wp:inline>
              </w:drawing>
            </w:r>
          </w:p>
        </w:tc>
        <w:tc>
          <w:tcPr>
            <w:tcW w:w="2283" w:type="dxa"/>
          </w:tcPr>
          <w:p w14:paraId="432414F4">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19,22,25,29</w:t>
            </w:r>
          </w:p>
        </w:tc>
      </w:tr>
      <w:tr w14:paraId="1EF6D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tcPr>
          <w:p w14:paraId="24C6244F">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AD31</w:t>
            </w:r>
          </w:p>
        </w:tc>
        <w:tc>
          <w:tcPr>
            <w:tcW w:w="1635" w:type="dxa"/>
          </w:tcPr>
          <w:p w14:paraId="69123653">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Scutianthraquinone C</w:t>
            </w:r>
          </w:p>
        </w:tc>
        <w:tc>
          <w:tcPr>
            <w:tcW w:w="682" w:type="dxa"/>
          </w:tcPr>
          <w:p w14:paraId="7941709C">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-9.277</w:t>
            </w:r>
          </w:p>
        </w:tc>
        <w:tc>
          <w:tcPr>
            <w:tcW w:w="2801" w:type="dxa"/>
          </w:tcPr>
          <w:p w14:paraId="20063E99">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20"/>
                <w:szCs w:val="20"/>
              </w:rPr>
              <w:drawing>
                <wp:inline distT="0" distB="0" distL="114300" distR="114300">
                  <wp:extent cx="1746250" cy="1068705"/>
                  <wp:effectExtent l="0" t="0" r="6350" b="10795"/>
                  <wp:docPr id="15" name="image4.png"/>
                  <wp:cNvGraphicFramePr/>
                  <a:graphic xmlns:a="http://schemas.openxmlformats.org/drawingml/2006/main">
                    <a:graphicData uri="http://schemas.openxmlformats.org/drawingml/2006/picture">
                      <pic:pic xmlns:pic="http://schemas.openxmlformats.org/drawingml/2006/picture">
                        <pic:nvPicPr>
                          <pic:cNvPr id="15" name="image4.png"/>
                          <pic:cNvPicPr preferRelativeResize="0"/>
                        </pic:nvPicPr>
                        <pic:blipFill>
                          <a:blip r:embed="rId19" cstate="print"/>
                          <a:stretch>
                            <a:fillRect/>
                          </a:stretch>
                        </pic:blipFill>
                        <pic:spPr>
                          <a:xfrm>
                            <a:off x="0" y="0"/>
                            <a:ext cx="1746250" cy="1068705"/>
                          </a:xfrm>
                          <a:prstGeom prst="rect">
                            <a:avLst/>
                          </a:prstGeom>
                          <a:noFill/>
                        </pic:spPr>
                      </pic:pic>
                    </a:graphicData>
                  </a:graphic>
                </wp:inline>
              </w:drawing>
            </w:r>
          </w:p>
        </w:tc>
        <w:tc>
          <w:tcPr>
            <w:tcW w:w="2283" w:type="dxa"/>
          </w:tcPr>
          <w:p w14:paraId="7846464D">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124,194,197,216</w:t>
            </w:r>
          </w:p>
        </w:tc>
      </w:tr>
      <w:tr w14:paraId="4C699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tcPr>
          <w:p w14:paraId="034EA914">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AD43</w:t>
            </w:r>
          </w:p>
        </w:tc>
        <w:tc>
          <w:tcPr>
            <w:tcW w:w="1635" w:type="dxa"/>
          </w:tcPr>
          <w:p w14:paraId="2EF01377">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Chryslandicin</w:t>
            </w:r>
          </w:p>
        </w:tc>
        <w:tc>
          <w:tcPr>
            <w:tcW w:w="682" w:type="dxa"/>
          </w:tcPr>
          <w:p w14:paraId="6021E16E">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-9.137</w:t>
            </w:r>
          </w:p>
        </w:tc>
        <w:tc>
          <w:tcPr>
            <w:tcW w:w="2801" w:type="dxa"/>
          </w:tcPr>
          <w:p w14:paraId="3076776D">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20"/>
                <w:szCs w:val="20"/>
              </w:rPr>
              <w:drawing>
                <wp:inline distT="0" distB="0" distL="114300" distR="114300">
                  <wp:extent cx="1739265" cy="1087120"/>
                  <wp:effectExtent l="0" t="0" r="635" b="5080"/>
                  <wp:docPr id="17" name="image7.png"/>
                  <wp:cNvGraphicFramePr/>
                  <a:graphic xmlns:a="http://schemas.openxmlformats.org/drawingml/2006/main">
                    <a:graphicData uri="http://schemas.openxmlformats.org/drawingml/2006/picture">
                      <pic:pic xmlns:pic="http://schemas.openxmlformats.org/drawingml/2006/picture">
                        <pic:nvPicPr>
                          <pic:cNvPr id="17" name="image7.png"/>
                          <pic:cNvPicPr preferRelativeResize="0"/>
                        </pic:nvPicPr>
                        <pic:blipFill>
                          <a:blip r:embed="rId20" cstate="print"/>
                          <a:stretch>
                            <a:fillRect/>
                          </a:stretch>
                        </pic:blipFill>
                        <pic:spPr>
                          <a:xfrm>
                            <a:off x="0" y="0"/>
                            <a:ext cx="1739265" cy="1087120"/>
                          </a:xfrm>
                          <a:prstGeom prst="rect">
                            <a:avLst/>
                          </a:prstGeom>
                          <a:noFill/>
                        </pic:spPr>
                      </pic:pic>
                    </a:graphicData>
                  </a:graphic>
                </wp:inline>
              </w:drawing>
            </w:r>
          </w:p>
        </w:tc>
        <w:tc>
          <w:tcPr>
            <w:tcW w:w="2283" w:type="dxa"/>
          </w:tcPr>
          <w:p w14:paraId="740C9598">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25,98,124,194,215,216,249</w:t>
            </w:r>
          </w:p>
        </w:tc>
      </w:tr>
      <w:tr w14:paraId="45EDD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tcPr>
          <w:p w14:paraId="44873889">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AD39</w:t>
            </w:r>
          </w:p>
        </w:tc>
        <w:tc>
          <w:tcPr>
            <w:tcW w:w="1635" w:type="dxa"/>
          </w:tcPr>
          <w:p w14:paraId="61D78877">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20"/>
                <w:szCs w:val="20"/>
              </w:rPr>
              <w:t>joziknipholones A</w:t>
            </w:r>
          </w:p>
        </w:tc>
        <w:tc>
          <w:tcPr>
            <w:tcW w:w="682" w:type="dxa"/>
          </w:tcPr>
          <w:p w14:paraId="4C69B1A3">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-8.924</w:t>
            </w:r>
          </w:p>
        </w:tc>
        <w:tc>
          <w:tcPr>
            <w:tcW w:w="2801" w:type="dxa"/>
          </w:tcPr>
          <w:p w14:paraId="592D3613">
            <w:pPr>
              <w:widowControl w:val="0"/>
              <w:numPr>
                <w:ilvl w:val="0"/>
                <w:numId w:val="0"/>
              </w:numPr>
              <w:jc w:val="center"/>
              <w:rPr>
                <w:rFonts w:hint="default" w:ascii="Calibri" w:hAnsi="Calibri" w:cs="Calibri"/>
                <w:sz w:val="20"/>
                <w:szCs w:val="20"/>
              </w:rPr>
            </w:pPr>
            <w:r>
              <w:rPr>
                <w:rFonts w:hint="default" w:ascii="Calibri" w:hAnsi="Calibri" w:cs="Calibri"/>
                <w:sz w:val="20"/>
                <w:szCs w:val="20"/>
              </w:rPr>
              <w:drawing>
                <wp:inline distT="0" distB="0" distL="114300" distR="114300">
                  <wp:extent cx="1712595" cy="1158240"/>
                  <wp:effectExtent l="0" t="0" r="1905" b="10160"/>
                  <wp:docPr id="18" name="image10.png"/>
                  <wp:cNvGraphicFramePr/>
                  <a:graphic xmlns:a="http://schemas.openxmlformats.org/drawingml/2006/main">
                    <a:graphicData uri="http://schemas.openxmlformats.org/drawingml/2006/picture">
                      <pic:pic xmlns:pic="http://schemas.openxmlformats.org/drawingml/2006/picture">
                        <pic:nvPicPr>
                          <pic:cNvPr id="18" name="image10.png"/>
                          <pic:cNvPicPr preferRelativeResize="0"/>
                        </pic:nvPicPr>
                        <pic:blipFill>
                          <a:blip r:embed="rId21" cstate="print"/>
                          <a:stretch>
                            <a:fillRect/>
                          </a:stretch>
                        </pic:blipFill>
                        <pic:spPr>
                          <a:xfrm>
                            <a:off x="0" y="0"/>
                            <a:ext cx="1712595" cy="1158240"/>
                          </a:xfrm>
                          <a:prstGeom prst="rect">
                            <a:avLst/>
                          </a:prstGeom>
                          <a:noFill/>
                        </pic:spPr>
                      </pic:pic>
                    </a:graphicData>
                  </a:graphic>
                </wp:inline>
              </w:drawing>
            </w:r>
          </w:p>
        </w:tc>
        <w:tc>
          <w:tcPr>
            <w:tcW w:w="2283" w:type="dxa"/>
          </w:tcPr>
          <w:p w14:paraId="1DED0AC6">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18,25,124,125,215,216</w:t>
            </w:r>
          </w:p>
        </w:tc>
      </w:tr>
      <w:tr w14:paraId="16DC1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tcPr>
          <w:p w14:paraId="056CA2EE">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AD7</w:t>
            </w:r>
          </w:p>
        </w:tc>
        <w:tc>
          <w:tcPr>
            <w:tcW w:w="1635" w:type="dxa"/>
          </w:tcPr>
          <w:p w14:paraId="3F0C35F5">
            <w:pPr>
              <w:widowControl w:val="0"/>
              <w:numPr>
                <w:ilvl w:val="0"/>
                <w:numId w:val="0"/>
              </w:numPr>
              <w:jc w:val="center"/>
              <w:rPr>
                <w:rFonts w:hint="default" w:ascii="Calibri" w:hAnsi="Calibri" w:cs="Calibri"/>
                <w:sz w:val="20"/>
                <w:szCs w:val="20"/>
              </w:rPr>
            </w:pPr>
            <w:r>
              <w:rPr>
                <w:rFonts w:hint="default" w:ascii="Calibri" w:hAnsi="Calibri" w:cs="Calibri"/>
                <w:sz w:val="20"/>
                <w:szCs w:val="20"/>
              </w:rPr>
              <w:t>daunorubicin</w:t>
            </w:r>
          </w:p>
        </w:tc>
        <w:tc>
          <w:tcPr>
            <w:tcW w:w="682" w:type="dxa"/>
          </w:tcPr>
          <w:p w14:paraId="76DFA8E1">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-8.763</w:t>
            </w:r>
          </w:p>
        </w:tc>
        <w:tc>
          <w:tcPr>
            <w:tcW w:w="2801" w:type="dxa"/>
          </w:tcPr>
          <w:p w14:paraId="52CACBFD">
            <w:pPr>
              <w:widowControl w:val="0"/>
              <w:numPr>
                <w:ilvl w:val="0"/>
                <w:numId w:val="0"/>
              </w:numPr>
              <w:jc w:val="center"/>
              <w:rPr>
                <w:rFonts w:hint="default" w:ascii="Calibri" w:hAnsi="Calibri" w:cs="Calibri"/>
                <w:sz w:val="20"/>
                <w:szCs w:val="20"/>
              </w:rPr>
            </w:pPr>
            <w:r>
              <w:rPr>
                <w:rFonts w:hint="default" w:ascii="Calibri" w:hAnsi="Calibri" w:cs="Calibri"/>
                <w:sz w:val="20"/>
                <w:szCs w:val="20"/>
              </w:rPr>
              <w:drawing>
                <wp:inline distT="0" distB="0" distL="114300" distR="114300">
                  <wp:extent cx="1746885" cy="1213485"/>
                  <wp:effectExtent l="0" t="0" r="5715" b="5715"/>
                  <wp:docPr id="19" name="image9.png"/>
                  <wp:cNvGraphicFramePr/>
                  <a:graphic xmlns:a="http://schemas.openxmlformats.org/drawingml/2006/main">
                    <a:graphicData uri="http://schemas.openxmlformats.org/drawingml/2006/picture">
                      <pic:pic xmlns:pic="http://schemas.openxmlformats.org/drawingml/2006/picture">
                        <pic:nvPicPr>
                          <pic:cNvPr id="19" name="image9.png"/>
                          <pic:cNvPicPr preferRelativeResize="0"/>
                        </pic:nvPicPr>
                        <pic:blipFill>
                          <a:blip r:embed="rId22" cstate="print"/>
                          <a:stretch>
                            <a:fillRect/>
                          </a:stretch>
                        </pic:blipFill>
                        <pic:spPr>
                          <a:xfrm>
                            <a:off x="0" y="0"/>
                            <a:ext cx="1746885" cy="1213485"/>
                          </a:xfrm>
                          <a:prstGeom prst="rect">
                            <a:avLst/>
                          </a:prstGeom>
                          <a:noFill/>
                        </pic:spPr>
                      </pic:pic>
                    </a:graphicData>
                  </a:graphic>
                </wp:inline>
              </w:drawing>
            </w:r>
          </w:p>
        </w:tc>
        <w:tc>
          <w:tcPr>
            <w:tcW w:w="2283" w:type="dxa"/>
          </w:tcPr>
          <w:p w14:paraId="0155737B">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18,22,25,124</w:t>
            </w:r>
          </w:p>
        </w:tc>
      </w:tr>
      <w:tr w14:paraId="6F4CC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tcPr>
          <w:p w14:paraId="6A7862B2">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AD5</w:t>
            </w:r>
          </w:p>
        </w:tc>
        <w:tc>
          <w:tcPr>
            <w:tcW w:w="1635" w:type="dxa"/>
          </w:tcPr>
          <w:p w14:paraId="542073F3">
            <w:pPr>
              <w:widowControl w:val="0"/>
              <w:numPr>
                <w:ilvl w:val="0"/>
                <w:numId w:val="0"/>
              </w:numPr>
              <w:jc w:val="center"/>
              <w:rPr>
                <w:rFonts w:hint="default" w:ascii="Calibri" w:hAnsi="Calibri" w:cs="Calibri"/>
                <w:sz w:val="20"/>
                <w:szCs w:val="20"/>
              </w:rPr>
            </w:pPr>
            <w:r>
              <w:rPr>
                <w:rFonts w:hint="default" w:ascii="Calibri" w:hAnsi="Calibri" w:cs="Calibri"/>
                <w:sz w:val="20"/>
                <w:szCs w:val="20"/>
              </w:rPr>
              <w:t>Doxorubicin</w:t>
            </w:r>
          </w:p>
        </w:tc>
        <w:tc>
          <w:tcPr>
            <w:tcW w:w="682" w:type="dxa"/>
          </w:tcPr>
          <w:p w14:paraId="2BFEA164">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-8.629</w:t>
            </w:r>
          </w:p>
        </w:tc>
        <w:tc>
          <w:tcPr>
            <w:tcW w:w="2801" w:type="dxa"/>
          </w:tcPr>
          <w:p w14:paraId="2690DC8F">
            <w:pPr>
              <w:widowControl w:val="0"/>
              <w:numPr>
                <w:ilvl w:val="0"/>
                <w:numId w:val="0"/>
              </w:numPr>
              <w:jc w:val="center"/>
              <w:rPr>
                <w:rFonts w:hint="default" w:ascii="Calibri" w:hAnsi="Calibri" w:cs="Calibri"/>
                <w:sz w:val="20"/>
                <w:szCs w:val="20"/>
              </w:rPr>
            </w:pPr>
            <w:r>
              <w:rPr>
                <w:rFonts w:hint="default" w:ascii="Calibri" w:hAnsi="Calibri" w:cs="Calibri"/>
                <w:sz w:val="20"/>
                <w:szCs w:val="20"/>
              </w:rPr>
              <w:drawing>
                <wp:inline distT="0" distB="0" distL="114300" distR="114300">
                  <wp:extent cx="1943100" cy="1096645"/>
                  <wp:effectExtent l="0" t="0" r="0" b="8255"/>
                  <wp:docPr id="20" name="image5.png"/>
                  <wp:cNvGraphicFramePr/>
                  <a:graphic xmlns:a="http://schemas.openxmlformats.org/drawingml/2006/main">
                    <a:graphicData uri="http://schemas.openxmlformats.org/drawingml/2006/picture">
                      <pic:pic xmlns:pic="http://schemas.openxmlformats.org/drawingml/2006/picture">
                        <pic:nvPicPr>
                          <pic:cNvPr id="20" name="image5.png"/>
                          <pic:cNvPicPr preferRelativeResize="0"/>
                        </pic:nvPicPr>
                        <pic:blipFill>
                          <a:blip r:embed="rId23" cstate="print"/>
                          <a:stretch>
                            <a:fillRect/>
                          </a:stretch>
                        </pic:blipFill>
                        <pic:spPr>
                          <a:xfrm>
                            <a:off x="0" y="0"/>
                            <a:ext cx="1943100" cy="1096645"/>
                          </a:xfrm>
                          <a:prstGeom prst="rect">
                            <a:avLst/>
                          </a:prstGeom>
                          <a:noFill/>
                        </pic:spPr>
                      </pic:pic>
                    </a:graphicData>
                  </a:graphic>
                </wp:inline>
              </w:drawing>
            </w:r>
          </w:p>
        </w:tc>
        <w:tc>
          <w:tcPr>
            <w:tcW w:w="2283" w:type="dxa"/>
          </w:tcPr>
          <w:p w14:paraId="642948B0">
            <w:pPr>
              <w:widowControl w:val="0"/>
              <w:numPr>
                <w:ilvl w:val="0"/>
                <w:numId w:val="0"/>
              </w:numPr>
              <w:jc w:val="center"/>
              <w:rPr>
                <w:rFonts w:hint="default" w:ascii="Calibri" w:hAnsi="Calibri" w:cs="Calibri"/>
                <w:sz w:val="16"/>
                <w:szCs w:val="16"/>
                <w:vertAlign w:val="baseline"/>
                <w:lang w:val="en-US" w:eastAsia="en-GB"/>
              </w:rPr>
            </w:pPr>
            <w:r>
              <w:rPr>
                <w:rFonts w:hint="default" w:ascii="Calibri" w:hAnsi="Calibri" w:cs="Calibri"/>
                <w:sz w:val="16"/>
                <w:szCs w:val="16"/>
                <w:vertAlign w:val="baseline"/>
                <w:lang w:val="en-US" w:eastAsia="en-GB"/>
              </w:rPr>
              <w:t>25,124</w:t>
            </w:r>
          </w:p>
        </w:tc>
      </w:tr>
    </w:tbl>
    <w:p w14:paraId="5F0CF527">
      <w:pPr>
        <w:numPr>
          <w:ilvl w:val="0"/>
          <w:numId w:val="0"/>
        </w:numPr>
        <w:jc w:val="center"/>
        <w:rPr>
          <w:rFonts w:hint="default" w:ascii="Calibri" w:hAnsi="Calibri" w:cs="Calibri"/>
          <w:sz w:val="20"/>
          <w:szCs w:val="20"/>
          <w:lang w:val="en-US" w:eastAsia="en-GB"/>
        </w:rPr>
      </w:pPr>
    </w:p>
    <w:p w14:paraId="6AFD5A02">
      <w:pPr>
        <w:spacing w:before="40" w:after="140"/>
        <w:jc w:val="center"/>
        <w:rPr>
          <w:rFonts w:hint="default" w:ascii="Calibri" w:hAnsi="Calibri" w:cs="Calibri"/>
          <w:sz w:val="20"/>
          <w:szCs w:val="20"/>
        </w:rPr>
      </w:pPr>
      <w:r>
        <w:rPr>
          <w:rFonts w:hint="default" w:ascii="Calibri" w:hAnsi="Calibri" w:eastAsia="Arial" w:cs="Calibri"/>
          <w:i/>
          <w:iCs/>
          <w:color w:val="555555"/>
          <w:sz w:val="20"/>
          <w:szCs w:val="20"/>
        </w:rPr>
        <w:t xml:space="preserve">Table 1: Top 10 phytochemicals ranked by AutoDock Vina binding affinity against </w:t>
      </w:r>
      <w:r>
        <w:rPr>
          <w:rFonts w:hint="default" w:ascii="Calibri" w:hAnsi="Calibri" w:cs="Calibri"/>
          <w:i/>
          <w:iCs/>
          <w:color w:val="555555"/>
          <w:sz w:val="20"/>
          <w:szCs w:val="20"/>
          <w:lang w:val="en-US"/>
        </w:rPr>
        <w:t>PfPGM1</w:t>
      </w:r>
      <w:r>
        <w:rPr>
          <w:rFonts w:hint="default" w:ascii="Calibri" w:hAnsi="Calibri" w:eastAsia="Arial" w:cs="Calibri"/>
          <w:i/>
          <w:iCs/>
          <w:color w:val="555555"/>
          <w:sz w:val="20"/>
          <w:szCs w:val="20"/>
        </w:rPr>
        <w:t xml:space="preserve"> (1XQ9).</w:t>
      </w:r>
    </w:p>
    <w:p w14:paraId="58AA0628">
      <w:pPr>
        <w:numPr>
          <w:ilvl w:val="0"/>
          <w:numId w:val="0"/>
        </w:numPr>
        <w:jc w:val="left"/>
        <w:rPr>
          <w:rFonts w:hint="default" w:ascii="Calibri" w:hAnsi="Calibri" w:cs="Calibri"/>
          <w:sz w:val="20"/>
          <w:szCs w:val="20"/>
          <w:lang w:val="en-US" w:eastAsia="en-GB"/>
        </w:rPr>
      </w:pPr>
    </w:p>
    <w:p w14:paraId="6D36A54C">
      <w:pPr>
        <w:numPr>
          <w:ilvl w:val="0"/>
          <w:numId w:val="0"/>
        </w:numPr>
        <w:jc w:val="left"/>
        <w:rPr>
          <w:rFonts w:hint="default" w:ascii="Calibri" w:hAnsi="Calibri" w:cs="Calibri"/>
          <w:sz w:val="20"/>
          <w:szCs w:val="20"/>
          <w:lang w:val="en-US" w:eastAsia="en-GB"/>
        </w:rPr>
      </w:pPr>
    </w:p>
    <w:p w14:paraId="44B7950B">
      <w:pPr>
        <w:numPr>
          <w:ilvl w:val="0"/>
          <w:numId w:val="0"/>
        </w:numPr>
        <w:jc w:val="left"/>
        <w:rPr>
          <w:rFonts w:hint="default" w:ascii="Calibri" w:hAnsi="Calibri" w:cs="Calibri"/>
          <w:sz w:val="20"/>
          <w:szCs w:val="20"/>
          <w:vertAlign w:val="baseline"/>
          <w:lang w:val="en-US" w:eastAsia="en-GB"/>
        </w:rPr>
      </w:pPr>
      <w:r>
        <w:rPr>
          <w:rFonts w:hint="default" w:ascii="Calibri" w:hAnsi="Calibri" w:cs="Calibri"/>
          <w:sz w:val="20"/>
          <w:szCs w:val="20"/>
          <w:lang w:val="en-US" w:eastAsia="en-GB"/>
        </w:rPr>
        <w:t xml:space="preserve">Among all screened compounds, </w:t>
      </w:r>
      <w:r>
        <w:rPr>
          <w:rFonts w:hint="default" w:ascii="Calibri" w:hAnsi="Calibri" w:cs="Calibri"/>
          <w:b/>
          <w:bCs/>
          <w:sz w:val="20"/>
          <w:szCs w:val="20"/>
          <w:lang w:val="en-US" w:eastAsia="en-GB"/>
        </w:rPr>
        <w:t>AD53 (</w:t>
      </w:r>
      <w:r>
        <w:rPr>
          <w:rFonts w:hint="default" w:ascii="Calibri" w:hAnsi="Calibri" w:cs="Calibri"/>
          <w:b/>
          <w:bCs/>
          <w:sz w:val="20"/>
          <w:szCs w:val="20"/>
          <w:vertAlign w:val="baseline"/>
          <w:lang w:val="en-US" w:eastAsia="en-GB"/>
        </w:rPr>
        <w:t>Tectograndone )</w:t>
      </w:r>
      <w:r>
        <w:rPr>
          <w:rFonts w:hint="default" w:ascii="Calibri" w:hAnsi="Calibri" w:cs="Calibri"/>
          <w:sz w:val="20"/>
          <w:szCs w:val="20"/>
          <w:vertAlign w:val="baseline"/>
          <w:lang w:val="en-US" w:eastAsia="en-GB"/>
        </w:rPr>
        <w:t xml:space="preserve"> showed the strongest binding affinity with PGM1 (1XQ9) with a score of</w:t>
      </w:r>
      <w:r>
        <w:rPr>
          <w:rFonts w:hint="default" w:ascii="Calibri" w:hAnsi="Calibri" w:cs="Calibri"/>
          <w:b/>
          <w:bCs/>
          <w:sz w:val="20"/>
          <w:szCs w:val="20"/>
          <w:vertAlign w:val="baseline"/>
          <w:lang w:val="en-US" w:eastAsia="en-GB"/>
        </w:rPr>
        <w:t xml:space="preserve"> -10.68 kcal/mol</w:t>
      </w:r>
      <w:r>
        <w:rPr>
          <w:rFonts w:hint="default" w:ascii="Calibri" w:hAnsi="Calibri" w:cs="Calibri"/>
          <w:sz w:val="20"/>
          <w:szCs w:val="20"/>
          <w:vertAlign w:val="baseline"/>
          <w:lang w:val="en-US" w:eastAsia="en-GB"/>
        </w:rPr>
        <w:t>. It formed hydrogen bonds interactions with SER-22, GLU-97, TYR-100, SER-195 of which TYR-100 is part of the identified active site. Other compounds such as AD32 and AD54 also exhibited strong binding affinity, with affinities of -10.12 kcal/mol and -10.01kcal/mol, respectively. In addition, AD54 notably formed the highest number of hydrogen bonds among all compounds. AD54, AD49, AD39 and AD7 showed interaction with ARG-18, which is known to play a significant role in catalysis, indicating their potential to interfere with enzyme activity. Overall, compounds with more negative binding affinity values were considered to have a stronger and more favourable interactions with the protein, making them promising candidates for future analysis.</w:t>
      </w:r>
    </w:p>
    <w:p w14:paraId="0C924573">
      <w:pPr>
        <w:numPr>
          <w:ilvl w:val="0"/>
          <w:numId w:val="0"/>
        </w:numPr>
        <w:jc w:val="left"/>
        <w:rPr>
          <w:rFonts w:hint="default" w:ascii="Calibri" w:hAnsi="Calibri" w:cs="Calibri"/>
          <w:sz w:val="20"/>
          <w:szCs w:val="20"/>
          <w:vertAlign w:val="baseline"/>
          <w:lang w:val="en-US" w:eastAsia="en-GB"/>
        </w:rPr>
      </w:pPr>
    </w:p>
    <w:p w14:paraId="11D91C05">
      <w:pPr>
        <w:numPr>
          <w:ilvl w:val="0"/>
          <w:numId w:val="0"/>
        </w:numPr>
        <w:jc w:val="left"/>
        <w:rPr>
          <w:rFonts w:hint="default" w:ascii="Calibri" w:hAnsi="Calibri" w:cs="Calibri"/>
          <w:sz w:val="20"/>
          <w:szCs w:val="20"/>
          <w:vertAlign w:val="baseline"/>
          <w:lang w:val="en-US" w:eastAsia="en-GB"/>
        </w:rPr>
      </w:pPr>
    </w:p>
    <w:p w14:paraId="2947EAC4">
      <w:pPr>
        <w:numPr>
          <w:ilvl w:val="0"/>
          <w:numId w:val="0"/>
        </w:numPr>
        <w:jc w:val="left"/>
        <w:rPr>
          <w:rFonts w:hint="default" w:ascii="Calibri" w:hAnsi="Calibri" w:cs="Calibri"/>
          <w:b/>
          <w:bCs/>
          <w:sz w:val="24"/>
          <w:szCs w:val="24"/>
          <w:vertAlign w:val="baseline"/>
          <w:lang w:val="en-US" w:eastAsia="en-GB"/>
        </w:rPr>
      </w:pPr>
      <w:r>
        <w:rPr>
          <w:rFonts w:hint="default" w:ascii="Calibri" w:hAnsi="Calibri" w:cs="Calibri"/>
          <w:b/>
          <w:bCs/>
          <w:sz w:val="24"/>
          <w:szCs w:val="24"/>
          <w:vertAlign w:val="baseline"/>
          <w:lang w:val="en-US" w:eastAsia="en-GB"/>
        </w:rPr>
        <w:t>3.3 SwissADME - Drug-Likeness Results</w:t>
      </w:r>
    </w:p>
    <w:p w14:paraId="2EB41F0D">
      <w:pPr>
        <w:numPr>
          <w:ilvl w:val="0"/>
          <w:numId w:val="0"/>
        </w:numPr>
        <w:jc w:val="left"/>
        <w:rPr>
          <w:rFonts w:hint="default" w:ascii="Calibri" w:hAnsi="Calibri" w:cs="Calibri"/>
          <w:sz w:val="20"/>
          <w:szCs w:val="20"/>
          <w:vertAlign w:val="baseline"/>
          <w:lang w:val="en-US" w:eastAsia="en-GB"/>
        </w:rPr>
      </w:pPr>
    </w:p>
    <w:p w14:paraId="687BD229">
      <w:pPr>
        <w:numPr>
          <w:ilvl w:val="0"/>
          <w:numId w:val="0"/>
        </w:numPr>
        <w:jc w:val="left"/>
        <w:rPr>
          <w:rFonts w:hint="default" w:ascii="Calibri" w:hAnsi="Calibri" w:cs="Calibri"/>
          <w:sz w:val="20"/>
          <w:szCs w:val="20"/>
          <w:vertAlign w:val="baseline"/>
          <w:lang w:val="en-US" w:eastAsia="en-GB"/>
        </w:rPr>
      </w:pPr>
      <w:r>
        <w:rPr>
          <w:rFonts w:hint="default" w:ascii="Calibri" w:hAnsi="Calibri" w:cs="Calibri"/>
          <w:sz w:val="20"/>
          <w:szCs w:val="20"/>
          <w:vertAlign w:val="baseline"/>
          <w:lang w:val="en-US" w:eastAsia="en-GB"/>
        </w:rPr>
        <w:t>The top 10 docked compounds were submitted to SwissADME for pharmacokinetic and drug-likeness evaluation. The parameters assessed including molecular weight, hydrogen acceptors and donors, TPSA, Gi absorption, Lipinski Rule of Five violations, solubility, PAINS alerts, Brenk alerts, lead-likeness, and synthetic accessibility score. The key findings are summarized below</w:t>
      </w:r>
    </w:p>
    <w:p w14:paraId="2B0CC56F">
      <w:pPr>
        <w:numPr>
          <w:ilvl w:val="0"/>
          <w:numId w:val="0"/>
        </w:numPr>
        <w:jc w:val="left"/>
        <w:rPr>
          <w:rFonts w:hint="default" w:ascii="Calibri" w:hAnsi="Calibri" w:cs="Calibri"/>
          <w:sz w:val="20"/>
          <w:szCs w:val="20"/>
          <w:vertAlign w:val="baseline"/>
          <w:lang w:val="en-US" w:eastAsia="en-GB"/>
        </w:rPr>
      </w:pPr>
    </w:p>
    <w:p w14:paraId="455A0AD9">
      <w:pPr>
        <w:numPr>
          <w:ilvl w:val="0"/>
          <w:numId w:val="0"/>
        </w:numPr>
        <w:jc w:val="center"/>
        <w:rPr>
          <w:rFonts w:hint="default" w:ascii="Calibri" w:hAnsi="Calibri" w:cs="Calibri"/>
        </w:rPr>
      </w:pPr>
      <w:r>
        <w:rPr>
          <w:rFonts w:hint="default" w:ascii="Calibri" w:hAnsi="Calibri" w:cs="Calibri"/>
        </w:rPr>
        <w:drawing>
          <wp:inline distT="0" distB="0" distL="114300" distR="114300">
            <wp:extent cx="6109970" cy="1805940"/>
            <wp:effectExtent l="0" t="0" r="11430" b="1016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pic:cNvPicPr>
                      <a:picLocks noChangeAspect="1"/>
                    </pic:cNvPicPr>
                  </pic:nvPicPr>
                  <pic:blipFill>
                    <a:blip r:embed="rId24"/>
                    <a:stretch>
                      <a:fillRect/>
                    </a:stretch>
                  </pic:blipFill>
                  <pic:spPr>
                    <a:xfrm>
                      <a:off x="0" y="0"/>
                      <a:ext cx="6109970" cy="1805940"/>
                    </a:xfrm>
                    <a:prstGeom prst="rect">
                      <a:avLst/>
                    </a:prstGeom>
                    <a:noFill/>
                    <a:ln>
                      <a:noFill/>
                    </a:ln>
                  </pic:spPr>
                </pic:pic>
              </a:graphicData>
            </a:graphic>
          </wp:inline>
        </w:drawing>
      </w:r>
    </w:p>
    <w:p w14:paraId="518FEB7F">
      <w:pPr>
        <w:spacing w:before="40" w:after="140"/>
        <w:jc w:val="center"/>
        <w:rPr>
          <w:rFonts w:hint="default" w:ascii="Calibri" w:hAnsi="Calibri" w:cs="Calibri"/>
          <w:sz w:val="20"/>
          <w:szCs w:val="20"/>
        </w:rPr>
      </w:pPr>
      <w:r>
        <w:rPr>
          <w:rFonts w:hint="default" w:ascii="Calibri" w:hAnsi="Calibri" w:eastAsia="Arial" w:cs="Calibri"/>
          <w:i/>
          <w:iCs/>
          <w:color w:val="555555"/>
          <w:sz w:val="20"/>
          <w:szCs w:val="20"/>
        </w:rPr>
        <w:t xml:space="preserve">Table </w:t>
      </w:r>
      <w:r>
        <w:rPr>
          <w:rFonts w:hint="default" w:ascii="Calibri" w:hAnsi="Calibri" w:cs="Calibri"/>
          <w:i/>
          <w:iCs/>
          <w:color w:val="555555"/>
          <w:sz w:val="20"/>
          <w:szCs w:val="20"/>
          <w:lang w:val="en-US"/>
        </w:rPr>
        <w:t>2</w:t>
      </w:r>
      <w:r>
        <w:rPr>
          <w:rFonts w:hint="default" w:ascii="Calibri" w:hAnsi="Calibri" w:eastAsia="Arial" w:cs="Calibri"/>
          <w:i/>
          <w:iCs/>
          <w:color w:val="555555"/>
          <w:sz w:val="20"/>
          <w:szCs w:val="20"/>
        </w:rPr>
        <w:t>:</w:t>
      </w:r>
      <w:r>
        <w:rPr>
          <w:rFonts w:hint="default" w:ascii="Calibri" w:hAnsi="Calibri" w:cs="Calibri"/>
          <w:i/>
          <w:iCs/>
          <w:color w:val="555555"/>
          <w:sz w:val="20"/>
          <w:szCs w:val="20"/>
          <w:lang w:val="en-US"/>
        </w:rPr>
        <w:t xml:space="preserve"> SwissADME analysis of the</w:t>
      </w:r>
      <w:r>
        <w:rPr>
          <w:rFonts w:hint="default" w:ascii="Calibri" w:hAnsi="Calibri" w:eastAsia="Arial" w:cs="Calibri"/>
          <w:i/>
          <w:iCs/>
          <w:color w:val="555555"/>
          <w:sz w:val="20"/>
          <w:szCs w:val="20"/>
        </w:rPr>
        <w:t xml:space="preserve"> </w:t>
      </w:r>
      <w:r>
        <w:rPr>
          <w:rFonts w:hint="default" w:ascii="Calibri" w:hAnsi="Calibri" w:cs="Calibri"/>
          <w:i/>
          <w:iCs/>
          <w:color w:val="555555"/>
          <w:sz w:val="20"/>
          <w:szCs w:val="20"/>
          <w:lang w:val="en-US"/>
        </w:rPr>
        <w:t>t</w:t>
      </w:r>
      <w:r>
        <w:rPr>
          <w:rFonts w:hint="default" w:ascii="Calibri" w:hAnsi="Calibri" w:eastAsia="Arial" w:cs="Calibri"/>
          <w:i/>
          <w:iCs/>
          <w:color w:val="555555"/>
          <w:sz w:val="20"/>
          <w:szCs w:val="20"/>
        </w:rPr>
        <w:t>op 10 phytochemicals</w:t>
      </w:r>
      <w:r>
        <w:rPr>
          <w:rFonts w:hint="default" w:ascii="Calibri" w:hAnsi="Calibri" w:cs="Calibri"/>
          <w:i/>
          <w:iCs/>
          <w:color w:val="555555"/>
          <w:sz w:val="20"/>
          <w:szCs w:val="20"/>
          <w:lang w:val="en-US"/>
        </w:rPr>
        <w:t xml:space="preserve"> after docking.</w:t>
      </w:r>
      <w:r>
        <w:rPr>
          <w:rFonts w:hint="default" w:ascii="Calibri" w:hAnsi="Calibri" w:eastAsia="Arial" w:cs="Calibri"/>
          <w:i/>
          <w:iCs/>
          <w:color w:val="555555"/>
          <w:sz w:val="20"/>
          <w:szCs w:val="20"/>
        </w:rPr>
        <w:t xml:space="preserve"> </w:t>
      </w:r>
    </w:p>
    <w:p w14:paraId="2A74C2DB">
      <w:pPr>
        <w:numPr>
          <w:ilvl w:val="0"/>
          <w:numId w:val="0"/>
        </w:numPr>
        <w:jc w:val="center"/>
        <w:rPr>
          <w:rFonts w:hint="default" w:ascii="Calibri" w:hAnsi="Calibri" w:cs="Calibri"/>
        </w:rPr>
      </w:pPr>
    </w:p>
    <w:p w14:paraId="3C536F47">
      <w:pPr>
        <w:numPr>
          <w:ilvl w:val="0"/>
          <w:numId w:val="0"/>
        </w:numPr>
        <w:ind w:leftChars="0"/>
        <w:jc w:val="left"/>
        <w:rPr>
          <w:rFonts w:hint="default" w:ascii="Calibri" w:hAnsi="Calibri" w:cs="Calibri"/>
          <w:lang w:val="en-US" w:eastAsia="en-GB"/>
        </w:rPr>
      </w:pPr>
    </w:p>
    <w:p w14:paraId="30891C98">
      <w:pPr>
        <w:numPr>
          <w:ilvl w:val="0"/>
          <w:numId w:val="5"/>
        </w:numPr>
        <w:ind w:left="420" w:leftChars="0" w:hanging="420" w:firstLineChars="0"/>
        <w:jc w:val="left"/>
        <w:rPr>
          <w:rFonts w:hint="default" w:ascii="Calibri" w:hAnsi="Calibri" w:cs="Calibri"/>
          <w:lang w:val="en-US" w:eastAsia="en-GB"/>
        </w:rPr>
      </w:pPr>
      <w:r>
        <w:rPr>
          <w:rFonts w:hint="default" w:ascii="Calibri" w:hAnsi="Calibri" w:cs="Calibri"/>
          <w:i/>
          <w:iCs/>
          <w:u w:val="single"/>
          <w:lang w:val="en-US"/>
        </w:rPr>
        <w:t>Molecular Weight:</w:t>
      </w:r>
      <w:r>
        <w:rPr>
          <w:rFonts w:hint="default" w:ascii="Calibri" w:hAnsi="Calibri" w:cs="Calibri"/>
          <w:lang w:val="en-US"/>
        </w:rPr>
        <w:t xml:space="preserve"> AD5 (256.21 g/mol), AD7 (268.22 g/mol), AD54 (304.21 g/mol), AD27 (434.39 g/mol), AD32(436.41 g/mol), AD39 (438.5 g/mol), AD31 (450.44 g/mol), and AD53 (460.43 g/mol), AD49(494.45 g/mol) all fall within the acceptable limit of 500Da. AD43 (506.46 g/mol) slightly exceeds the threshold.</w:t>
      </w:r>
    </w:p>
    <w:p w14:paraId="03456CDD">
      <w:pPr>
        <w:numPr>
          <w:ilvl w:val="0"/>
          <w:numId w:val="5"/>
        </w:numPr>
        <w:ind w:left="420" w:leftChars="0" w:hanging="420" w:firstLineChars="0"/>
        <w:jc w:val="left"/>
        <w:rPr>
          <w:rFonts w:hint="default" w:ascii="Calibri" w:hAnsi="Calibri" w:cs="Calibri"/>
          <w:lang w:val="en-US" w:eastAsia="en-GB"/>
        </w:rPr>
      </w:pPr>
      <w:r>
        <w:rPr>
          <w:rFonts w:hint="default" w:ascii="Calibri" w:hAnsi="Calibri" w:cs="Calibri"/>
          <w:i/>
          <w:iCs/>
          <w:u w:val="single"/>
          <w:lang w:val="en-US"/>
        </w:rPr>
        <w:t>HB Donors and Acceptors:</w:t>
      </w:r>
      <w:r>
        <w:rPr>
          <w:rFonts w:hint="default" w:ascii="Calibri" w:hAnsi="Calibri" w:cs="Calibri"/>
          <w:lang w:val="en-US"/>
        </w:rPr>
        <w:t xml:space="preserve"> Lipinski’s rule requires HB donors </w:t>
      </w:r>
      <w:r>
        <w:rPr>
          <w:rFonts w:hint="default" w:ascii="Calibri" w:hAnsi="Calibri" w:eastAsia="SimSun" w:cs="Calibri"/>
          <w:lang w:val="en-US"/>
        </w:rPr>
        <w:t>≦</w:t>
      </w:r>
      <w:r>
        <w:rPr>
          <w:rFonts w:hint="default" w:ascii="Calibri" w:hAnsi="Calibri" w:cs="Calibri"/>
          <w:lang w:val="en-US"/>
        </w:rPr>
        <w:t xml:space="preserve">5 and HB acceptors </w:t>
      </w:r>
      <w:r>
        <w:rPr>
          <w:rFonts w:hint="default" w:ascii="Calibri" w:hAnsi="Calibri" w:eastAsia="SimSun" w:cs="Calibri"/>
          <w:lang w:val="en-US"/>
        </w:rPr>
        <w:t>≦</w:t>
      </w:r>
      <w:r>
        <w:rPr>
          <w:rFonts w:hint="default" w:ascii="Calibri" w:hAnsi="Calibri" w:cs="Calibri"/>
          <w:lang w:val="en-US"/>
        </w:rPr>
        <w:t>10. All compounds satisfy the acceptor limit. AD54 had the highest donor count at 6, which exceeds the limit. AD39 had 5 donors. All the other compounds were within the acceptable ranges.</w:t>
      </w:r>
    </w:p>
    <w:p w14:paraId="58E2BD4E">
      <w:pPr>
        <w:numPr>
          <w:ilvl w:val="0"/>
          <w:numId w:val="5"/>
        </w:numPr>
        <w:ind w:left="420" w:leftChars="0" w:hanging="420" w:firstLineChars="0"/>
        <w:jc w:val="left"/>
        <w:rPr>
          <w:rFonts w:hint="default" w:ascii="Calibri" w:hAnsi="Calibri" w:cs="Calibri"/>
          <w:lang w:val="en-US" w:eastAsia="en-GB"/>
        </w:rPr>
      </w:pPr>
      <w:r>
        <w:rPr>
          <w:rFonts w:hint="default" w:ascii="Calibri" w:hAnsi="Calibri" w:cs="Calibri"/>
          <w:i/>
          <w:iCs/>
          <w:u w:val="single"/>
          <w:lang w:val="en-US"/>
        </w:rPr>
        <w:t>TPSA:</w:t>
      </w:r>
      <w:r>
        <w:rPr>
          <w:rFonts w:hint="default" w:ascii="Calibri" w:hAnsi="Calibri" w:cs="Calibri"/>
          <w:lang w:val="en-US"/>
        </w:rPr>
        <w:t xml:space="preserve"> A TPSA below 140Å</w:t>
      </w:r>
      <w:r>
        <w:rPr>
          <w:rFonts w:hint="default" w:ascii="Calibri" w:hAnsi="Calibri" w:cs="Calibri"/>
          <w:vertAlign w:val="superscript"/>
          <w:lang w:val="en-US"/>
        </w:rPr>
        <w:t xml:space="preserve">2 </w:t>
      </w:r>
      <w:r>
        <w:rPr>
          <w:rFonts w:hint="default" w:ascii="Calibri" w:hAnsi="Calibri" w:cs="Calibri"/>
          <w:vertAlign w:val="baseline"/>
          <w:lang w:val="en-US"/>
        </w:rPr>
        <w:t xml:space="preserve"> is associated with good oral absorption. AD53, AD49, AD7 and AD5 are within this limit. AD32, AD27, AD43, AD54 and AD39 exceed the limit indicating reduced oral permeability.</w:t>
      </w:r>
    </w:p>
    <w:p w14:paraId="5AC144E3">
      <w:pPr>
        <w:numPr>
          <w:ilvl w:val="0"/>
          <w:numId w:val="5"/>
        </w:numPr>
        <w:ind w:left="420" w:leftChars="0" w:hanging="420" w:firstLineChars="0"/>
        <w:jc w:val="left"/>
        <w:rPr>
          <w:rFonts w:hint="default" w:ascii="Calibri" w:hAnsi="Calibri" w:cs="Calibri"/>
          <w:lang w:val="en-US" w:eastAsia="en-GB"/>
        </w:rPr>
      </w:pPr>
      <w:r>
        <w:rPr>
          <w:rFonts w:hint="default" w:ascii="Calibri" w:hAnsi="Calibri" w:cs="Calibri"/>
          <w:i/>
          <w:iCs/>
          <w:u w:val="single"/>
          <w:vertAlign w:val="baseline"/>
          <w:lang w:val="en-US"/>
        </w:rPr>
        <w:t>GI absorption</w:t>
      </w:r>
      <w:r>
        <w:rPr>
          <w:rFonts w:hint="default" w:ascii="Calibri" w:hAnsi="Calibri" w:cs="Calibri"/>
          <w:vertAlign w:val="baseline"/>
          <w:lang w:val="en-US"/>
        </w:rPr>
        <w:t>- Only AD53, AD7, and AD5 showed High GI absorption which is a critical requirement for oral drug candidates. All remaining compounds showed low GI absorption, limiting their oral bioavailability.</w:t>
      </w:r>
    </w:p>
    <w:p w14:paraId="4165588B">
      <w:pPr>
        <w:numPr>
          <w:ilvl w:val="0"/>
          <w:numId w:val="5"/>
        </w:numPr>
        <w:ind w:left="420" w:leftChars="0" w:hanging="420" w:firstLineChars="0"/>
        <w:jc w:val="left"/>
        <w:rPr>
          <w:rFonts w:hint="default" w:ascii="Calibri" w:hAnsi="Calibri" w:cs="Calibri"/>
          <w:lang w:val="en-US" w:eastAsia="en-GB"/>
        </w:rPr>
      </w:pPr>
      <w:r>
        <w:rPr>
          <w:rFonts w:hint="default" w:ascii="Calibri" w:hAnsi="Calibri" w:cs="Calibri"/>
          <w:i/>
          <w:iCs/>
          <w:sz w:val="22"/>
          <w:szCs w:val="22"/>
          <w:u w:val="single"/>
          <w:vertAlign w:val="baseline"/>
          <w:lang w:val="en-US"/>
        </w:rPr>
        <w:t>Lipinski Violations</w:t>
      </w:r>
      <w:r>
        <w:rPr>
          <w:rFonts w:hint="default" w:ascii="Calibri" w:hAnsi="Calibri" w:cs="Calibri"/>
          <w:vertAlign w:val="baseline"/>
          <w:lang w:val="en-US"/>
        </w:rPr>
        <w:t xml:space="preserve">: AD53, AD32, AD49, AD27,AD31, AD7, and AD5 has zero Lipinski violations which fully compliant with oral drug-likeness criteria. AD54, AD43, and AD39 each had one violation, which is generally considered acceptable. </w:t>
      </w:r>
    </w:p>
    <w:p w14:paraId="0B78EF13">
      <w:pPr>
        <w:numPr>
          <w:ilvl w:val="0"/>
          <w:numId w:val="5"/>
        </w:numPr>
        <w:ind w:left="420" w:leftChars="0" w:hanging="420" w:firstLineChars="0"/>
        <w:jc w:val="left"/>
        <w:rPr>
          <w:rFonts w:hint="default" w:ascii="Calibri" w:hAnsi="Calibri" w:cs="Calibri"/>
          <w:lang w:val="en-US" w:eastAsia="en-GB"/>
        </w:rPr>
      </w:pPr>
      <w:r>
        <w:rPr>
          <w:rFonts w:hint="default" w:ascii="Calibri" w:hAnsi="Calibri" w:cs="Calibri"/>
          <w:i/>
          <w:iCs/>
          <w:u w:val="single"/>
          <w:vertAlign w:val="baseline"/>
          <w:lang w:val="en-US"/>
        </w:rPr>
        <w:t>Solubility:</w:t>
      </w:r>
      <w:r>
        <w:rPr>
          <w:rFonts w:hint="default" w:ascii="Calibri" w:hAnsi="Calibri" w:cs="Calibri"/>
          <w:vertAlign w:val="baseline"/>
          <w:lang w:val="en-US"/>
        </w:rPr>
        <w:t xml:space="preserve"> AD5 was the best performer, classified as soluble, followed closely by AD54 and AD7 with moderately soluble. AD53, AD49,AD27, AD43 and AD39 are classified poorly soluble.</w:t>
      </w:r>
    </w:p>
    <w:p w14:paraId="6F6CAEEE">
      <w:pPr>
        <w:numPr>
          <w:ilvl w:val="0"/>
          <w:numId w:val="5"/>
        </w:numPr>
        <w:ind w:left="420" w:leftChars="0" w:hanging="420" w:firstLineChars="0"/>
        <w:jc w:val="left"/>
        <w:rPr>
          <w:rFonts w:hint="default" w:ascii="Calibri" w:hAnsi="Calibri" w:cs="Calibri"/>
          <w:lang w:val="en-US" w:eastAsia="en-GB"/>
        </w:rPr>
      </w:pPr>
      <w:r>
        <w:rPr>
          <w:rFonts w:hint="default" w:ascii="Calibri" w:hAnsi="Calibri" w:cs="Calibri"/>
          <w:i/>
          <w:iCs/>
          <w:u w:val="single"/>
          <w:lang w:val="en-US" w:eastAsia="en-GB"/>
        </w:rPr>
        <w:t>PAINS Alerts:</w:t>
      </w:r>
      <w:r>
        <w:rPr>
          <w:rFonts w:hint="default" w:ascii="Calibri" w:hAnsi="Calibri" w:cs="Calibri"/>
          <w:lang w:val="en-US" w:eastAsia="en-GB"/>
        </w:rPr>
        <w:t xml:space="preserve"> AD54 and AD5 each flagged 2 alerts, which requires careful experimental follow- up as these substructures may interfere with biochemical assays. All other compounds flagged 1 PAINS alert each which is present but not disqualifying.</w:t>
      </w:r>
    </w:p>
    <w:p w14:paraId="3DF05CAD">
      <w:pPr>
        <w:numPr>
          <w:ilvl w:val="0"/>
          <w:numId w:val="5"/>
        </w:numPr>
        <w:ind w:left="420" w:leftChars="0" w:hanging="420" w:firstLineChars="0"/>
        <w:jc w:val="left"/>
        <w:rPr>
          <w:rFonts w:hint="default" w:ascii="Calibri" w:hAnsi="Calibri" w:cs="Calibri"/>
          <w:lang w:val="en-US" w:eastAsia="en-GB"/>
        </w:rPr>
      </w:pPr>
      <w:r>
        <w:rPr>
          <w:rFonts w:hint="default" w:ascii="Calibri" w:hAnsi="Calibri" w:cs="Calibri"/>
          <w:lang w:val="en-US" w:eastAsia="en-GB"/>
        </w:rPr>
        <w:t xml:space="preserve"> </w:t>
      </w:r>
      <w:r>
        <w:rPr>
          <w:rFonts w:hint="default" w:ascii="Calibri" w:hAnsi="Calibri" w:cs="Calibri"/>
          <w:i/>
          <w:iCs/>
          <w:u w:val="single"/>
          <w:lang w:val="en-US" w:eastAsia="en-GB"/>
        </w:rPr>
        <w:t>Brenk Alerts:</w:t>
      </w:r>
      <w:r>
        <w:rPr>
          <w:rFonts w:hint="default" w:ascii="Calibri" w:hAnsi="Calibri" w:cs="Calibri"/>
          <w:lang w:val="en-US" w:eastAsia="en-GB"/>
        </w:rPr>
        <w:t xml:space="preserve"> AD32, AD31 and AD43 showed 0 brenk alerts, indicating no structurally problematic groups. AD53, AD54, AD49, AD7 and AD5 each had 1 Brenk alert. AD27 and AD39 also flagged alerts, requiring structural scrutiny.</w:t>
      </w:r>
    </w:p>
    <w:p w14:paraId="30768E0B">
      <w:pPr>
        <w:numPr>
          <w:ilvl w:val="0"/>
          <w:numId w:val="5"/>
        </w:numPr>
        <w:ind w:left="420" w:leftChars="0" w:hanging="420" w:firstLineChars="0"/>
        <w:jc w:val="left"/>
        <w:rPr>
          <w:rFonts w:hint="default" w:ascii="Calibri" w:hAnsi="Calibri" w:cs="Calibri"/>
          <w:lang w:val="en-US" w:eastAsia="en-GB"/>
        </w:rPr>
      </w:pPr>
      <w:r>
        <w:rPr>
          <w:rFonts w:hint="default" w:ascii="Calibri" w:hAnsi="Calibri" w:cs="Calibri"/>
          <w:i/>
          <w:iCs/>
          <w:u w:val="single"/>
          <w:lang w:val="en-US" w:eastAsia="en-GB"/>
        </w:rPr>
        <w:t>Lead-Likeness:</w:t>
      </w:r>
      <w:r>
        <w:rPr>
          <w:rFonts w:hint="default" w:ascii="Calibri" w:hAnsi="Calibri" w:cs="Calibri"/>
          <w:lang w:val="en-US" w:eastAsia="en-GB"/>
        </w:rPr>
        <w:t xml:space="preserve"> AD54, AD7 and AD5 were classified as “yes” for lead-likeness, making them the most suitable starting points for further drug optimisation. All other compounds showed 1 or 2 lead-likeness violations.</w:t>
      </w:r>
    </w:p>
    <w:p w14:paraId="2575E2D0">
      <w:pPr>
        <w:numPr>
          <w:ilvl w:val="0"/>
          <w:numId w:val="5"/>
        </w:numPr>
        <w:ind w:left="420" w:leftChars="0" w:hanging="420" w:firstLineChars="0"/>
        <w:jc w:val="left"/>
        <w:rPr>
          <w:rFonts w:hint="default" w:ascii="Calibri" w:hAnsi="Calibri" w:cs="Calibri"/>
          <w:lang w:val="en-US" w:eastAsia="en-GB"/>
        </w:rPr>
      </w:pPr>
      <w:r>
        <w:rPr>
          <w:rFonts w:hint="default" w:ascii="Calibri" w:hAnsi="Calibri" w:cs="Calibri"/>
          <w:i/>
          <w:iCs/>
          <w:u w:val="single"/>
          <w:lang w:val="en-US" w:eastAsia="en-GB"/>
        </w:rPr>
        <w:t>Synthetic accessibility:</w:t>
      </w:r>
      <w:r>
        <w:rPr>
          <w:rFonts w:hint="default" w:ascii="Calibri" w:hAnsi="Calibri" w:cs="Calibri"/>
          <w:lang w:val="en-US" w:eastAsia="en-GB"/>
        </w:rPr>
        <w:t xml:space="preserve"> AD5 scored the best at 2.42, followed by AD54 and AD7, indicating they are straightforward to synthesis. AD53 and AD27 have moderate accessibility. AD32, AD49, AD39, AD31 are more complex to synthesis.</w:t>
      </w:r>
    </w:p>
    <w:p w14:paraId="3F57B536">
      <w:pPr>
        <w:numPr>
          <w:ilvl w:val="0"/>
          <w:numId w:val="5"/>
        </w:numPr>
        <w:ind w:left="420" w:leftChars="0" w:hanging="420" w:firstLineChars="0"/>
        <w:jc w:val="left"/>
        <w:rPr>
          <w:rFonts w:hint="default" w:ascii="Calibri" w:hAnsi="Calibri" w:cs="Calibri"/>
          <w:lang w:val="en-US" w:eastAsia="en-GB"/>
        </w:rPr>
      </w:pPr>
      <w:r>
        <w:rPr>
          <w:rFonts w:hint="default" w:ascii="Calibri" w:hAnsi="Calibri" w:cs="Calibri"/>
          <w:i/>
          <w:iCs/>
          <w:u w:val="single"/>
          <w:lang w:val="en-US" w:eastAsia="en-GB"/>
        </w:rPr>
        <w:t>Consensus LogP</w:t>
      </w:r>
      <w:r>
        <w:rPr>
          <w:rFonts w:hint="default" w:ascii="Calibri" w:hAnsi="Calibri" w:cs="Calibri"/>
          <w:lang w:val="en-US" w:eastAsia="en-GB"/>
        </w:rPr>
        <w:t>: All compounds fell within the acceptable range of 0.5. AD54 and AD5 had the lowest LogP values, indicating better water solubility and lower lipophilicity, which is generally favourable for drug development.</w:t>
      </w:r>
    </w:p>
    <w:p w14:paraId="220C4506">
      <w:pPr>
        <w:numPr>
          <w:ilvl w:val="0"/>
          <w:numId w:val="0"/>
        </w:numPr>
        <w:jc w:val="left"/>
        <w:rPr>
          <w:rFonts w:hint="default" w:ascii="Calibri" w:hAnsi="Calibri" w:cs="Calibri"/>
          <w:lang w:val="en-US" w:eastAsia="en-GB"/>
        </w:rPr>
      </w:pPr>
    </w:p>
    <w:p w14:paraId="35D7C834">
      <w:pPr>
        <w:numPr>
          <w:ilvl w:val="0"/>
          <w:numId w:val="0"/>
        </w:numPr>
        <w:jc w:val="left"/>
        <w:rPr>
          <w:rFonts w:hint="default" w:ascii="Calibri" w:hAnsi="Calibri" w:cs="Calibri"/>
          <w:lang w:val="en-US" w:eastAsia="en-GB"/>
        </w:rPr>
      </w:pPr>
      <w:r>
        <w:rPr>
          <w:rFonts w:hint="default" w:ascii="Calibri" w:hAnsi="Calibri" w:cs="Calibri"/>
          <w:lang w:val="en-US" w:eastAsia="en-GB"/>
        </w:rPr>
        <w:t xml:space="preserve">Based on a combined evaluation of all parameters, </w:t>
      </w:r>
      <w:r>
        <w:rPr>
          <w:rFonts w:hint="default" w:ascii="Calibri" w:hAnsi="Calibri" w:cs="Calibri"/>
          <w:b/>
          <w:bCs/>
          <w:lang w:val="en-US" w:eastAsia="en-GB"/>
        </w:rPr>
        <w:t>AD53 emerged as the most promising candidate.</w:t>
      </w:r>
      <w:r>
        <w:rPr>
          <w:rFonts w:hint="default" w:ascii="Calibri" w:hAnsi="Calibri" w:cs="Calibri"/>
          <w:lang w:val="en-US" w:eastAsia="en-GB"/>
        </w:rPr>
        <w:t xml:space="preserve"> It demonstrated a well- balanced profile, including zero Lipinski Violation, High GI absorption, a low synthetic accessibility score, suitable molecular weight, favourable TPSA.</w:t>
      </w:r>
    </w:p>
    <w:p w14:paraId="23E7FD58">
      <w:pPr>
        <w:numPr>
          <w:ilvl w:val="0"/>
          <w:numId w:val="0"/>
        </w:numPr>
        <w:jc w:val="left"/>
        <w:rPr>
          <w:rFonts w:hint="default" w:ascii="Calibri" w:hAnsi="Calibri" w:cs="Calibri"/>
          <w:lang w:val="en-US" w:eastAsia="en-GB"/>
        </w:rPr>
      </w:pPr>
    </w:p>
    <w:p w14:paraId="290DBA07">
      <w:pPr>
        <w:numPr>
          <w:ilvl w:val="0"/>
          <w:numId w:val="0"/>
        </w:numPr>
        <w:jc w:val="left"/>
        <w:rPr>
          <w:rFonts w:hint="default" w:ascii="Calibri" w:hAnsi="Calibri" w:cs="Calibri"/>
          <w:b/>
          <w:bCs/>
          <w:sz w:val="24"/>
          <w:szCs w:val="24"/>
          <w:lang w:val="en-US" w:eastAsia="en-GB"/>
        </w:rPr>
      </w:pPr>
      <w:r>
        <w:rPr>
          <w:rFonts w:hint="default" w:ascii="Calibri" w:hAnsi="Calibri" w:cs="Calibri"/>
          <w:b/>
          <w:bCs/>
          <w:sz w:val="24"/>
          <w:szCs w:val="24"/>
          <w:lang w:val="en-US" w:eastAsia="en-GB"/>
        </w:rPr>
        <w:t>3.4 Molecular Dynamics Simulation Results</w:t>
      </w:r>
    </w:p>
    <w:p w14:paraId="73CDA4D4">
      <w:pPr>
        <w:numPr>
          <w:ilvl w:val="0"/>
          <w:numId w:val="0"/>
        </w:numPr>
        <w:jc w:val="left"/>
        <w:rPr>
          <w:rFonts w:hint="default" w:ascii="Calibri" w:hAnsi="Calibri" w:cs="Calibri"/>
          <w:lang w:val="en-US" w:eastAsia="en-GB"/>
        </w:rPr>
      </w:pPr>
    </w:p>
    <w:p w14:paraId="51573678">
      <w:pPr>
        <w:numPr>
          <w:ilvl w:val="0"/>
          <w:numId w:val="0"/>
        </w:numPr>
        <w:jc w:val="left"/>
        <w:rPr>
          <w:rFonts w:hint="default" w:ascii="Calibri" w:hAnsi="Calibri" w:cs="Calibri"/>
          <w:lang w:val="en-US" w:eastAsia="en-GB"/>
        </w:rPr>
      </w:pPr>
      <w:r>
        <w:rPr>
          <w:rFonts w:hint="default" w:ascii="Calibri" w:hAnsi="Calibri" w:cs="Calibri"/>
          <w:lang w:val="en-US" w:eastAsia="en-GB"/>
        </w:rPr>
        <w:t>The MD simulation was run for 10 ns on the AD53-PfPGM1 complex to evaluate how the system behaves over time under conditions that mimic the human body. The results are presented in the following order: RMSD, RMSF, Hydrogen Bonds, Ligand Pose Comparison, Radius of Gyration, and Total Energy.</w:t>
      </w:r>
    </w:p>
    <w:p w14:paraId="39EA5816">
      <w:pPr>
        <w:numPr>
          <w:ilvl w:val="0"/>
          <w:numId w:val="0"/>
        </w:numPr>
        <w:jc w:val="left"/>
        <w:rPr>
          <w:rFonts w:hint="default" w:ascii="Calibri" w:hAnsi="Calibri" w:cs="Calibri"/>
          <w:lang w:val="en-US" w:eastAsia="en-GB"/>
        </w:rPr>
      </w:pPr>
    </w:p>
    <w:p w14:paraId="38ADFA39">
      <w:pPr>
        <w:numPr>
          <w:ilvl w:val="0"/>
          <w:numId w:val="0"/>
        </w:numPr>
        <w:jc w:val="left"/>
        <w:rPr>
          <w:rFonts w:hint="default" w:ascii="Calibri" w:hAnsi="Calibri" w:cs="Calibri"/>
          <w:b/>
          <w:bCs/>
          <w:i/>
          <w:iCs/>
          <w:u w:val="single"/>
          <w:lang w:val="en-US" w:eastAsia="en-GB"/>
        </w:rPr>
      </w:pPr>
      <w:r>
        <w:rPr>
          <w:rFonts w:hint="default" w:ascii="Calibri" w:hAnsi="Calibri" w:cs="Calibri"/>
          <w:b/>
          <w:bCs/>
          <w:i/>
          <w:iCs/>
          <w:u w:val="single"/>
          <w:lang w:val="en-US" w:eastAsia="en-GB"/>
        </w:rPr>
        <w:t>3.4.1 RMSD (Root Mean Square Deviation)</w:t>
      </w:r>
    </w:p>
    <w:p w14:paraId="22A827C7">
      <w:pPr>
        <w:numPr>
          <w:ilvl w:val="0"/>
          <w:numId w:val="0"/>
        </w:numPr>
        <w:jc w:val="left"/>
        <w:rPr>
          <w:rFonts w:hint="default" w:ascii="Calibri" w:hAnsi="Calibri" w:cs="Calibri"/>
          <w:u w:val="single"/>
          <w:lang w:val="en-US" w:eastAsia="en-GB"/>
        </w:rPr>
      </w:pPr>
      <w:r>
        <w:rPr>
          <w:rFonts w:hint="default" w:ascii="Calibri" w:hAnsi="Calibri" w:cs="Calibri"/>
          <w:u w:val="single"/>
          <w:lang w:val="en-US" w:eastAsia="en-GB"/>
        </w:rPr>
        <w:t xml:space="preserve"> </w:t>
      </w:r>
    </w:p>
    <w:p w14:paraId="2176AB18">
      <w:pPr>
        <w:numPr>
          <w:ilvl w:val="0"/>
          <w:numId w:val="0"/>
        </w:numPr>
        <w:jc w:val="left"/>
        <w:rPr>
          <w:rFonts w:hint="default" w:ascii="Calibri" w:hAnsi="Calibri" w:cs="Calibri"/>
          <w:lang w:val="en-US" w:eastAsia="en-GB"/>
        </w:rPr>
      </w:pPr>
      <w:r>
        <w:rPr>
          <w:rFonts w:hint="default" w:ascii="Calibri" w:hAnsi="Calibri" w:cs="Calibri"/>
          <w:sz w:val="20"/>
          <w:szCs w:val="20"/>
        </w:rPr>
        <mc:AlternateContent>
          <mc:Choice Requires="wps">
            <w:drawing>
              <wp:anchor distT="0" distB="0" distL="114300" distR="114300" simplePos="0" relativeHeight="251665408" behindDoc="0" locked="0" layoutInCell="1" allowOverlap="1">
                <wp:simplePos x="0" y="0"/>
                <wp:positionH relativeFrom="column">
                  <wp:posOffset>4888865</wp:posOffset>
                </wp:positionH>
                <wp:positionV relativeFrom="paragraph">
                  <wp:posOffset>2616835</wp:posOffset>
                </wp:positionV>
                <wp:extent cx="610870" cy="215265"/>
                <wp:effectExtent l="4445" t="4445" r="6985" b="8890"/>
                <wp:wrapNone/>
                <wp:docPr id="29" name="Text Box 29"/>
                <wp:cNvGraphicFramePr/>
                <a:graphic xmlns:a="http://schemas.openxmlformats.org/drawingml/2006/main">
                  <a:graphicData uri="http://schemas.microsoft.com/office/word/2010/wordprocessingShape">
                    <wps:wsp>
                      <wps:cNvSpPr txBox="1"/>
                      <wps:spPr>
                        <a:xfrm>
                          <a:off x="0" y="0"/>
                          <a:ext cx="610870" cy="2152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68095CE">
                            <w:pPr>
                              <w:rPr>
                                <w:rFonts w:hint="default"/>
                                <w:sz w:val="15"/>
                                <w:szCs w:val="15"/>
                                <w:lang w:val="en-US"/>
                              </w:rPr>
                            </w:pPr>
                            <w:r>
                              <w:rPr>
                                <w:rFonts w:hint="default"/>
                                <w:sz w:val="15"/>
                                <w:szCs w:val="15"/>
                                <w:lang w:val="en-US"/>
                              </w:rPr>
                              <w:t>Ligand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4.95pt;margin-top:206.05pt;height:16.95pt;width:48.1pt;z-index:251665408;mso-width-relative:page;mso-height-relative:page;" fillcolor="#FFFFFF [3201]" filled="t" stroked="t" coordsize="21600,21600" o:gfxdata="UEsDBAoAAAAAAIdO4kAAAAAAAAAAAAAAAAAEAAAAZHJzL1BLAwQUAAAACACHTuJAOILIPtcAAAAL&#10;AQAADwAAAGRycy9kb3ducmV2LnhtbE2Py07DMBBF90j8gzVI7KidtDJtiFMJJKSKHW027Nx4mkT4&#10;Edlu0/49wwp28zi6c6beXp1lF4xpDF5BsRDA0HfBjL5X0B7en9bAUtbeaBs8Krhhgm1zf1fryoTZ&#10;f+Jln3tGIT5VWsGQ81RxnroBnU6LMKGn3SlEpzO1secm6pnCneWlEJI7PXq6MOgJ3wbsvvdnp2An&#10;X/MXtubDLMtlmFvexZNNSj0+FOIFWMZr/oPhV5/UoSGnYzh7k5hV8Cw3G0IVrIqyAEbEWkoqjjRZ&#10;SQG8qfn/H5ofUEsDBBQAAAAIAIdO4kBDdxYuRgIAALcEAAAOAAAAZHJzL2Uyb0RvYy54bWytVEtv&#10;GjEQvlfqf7B8bxYo5IGyRDQRVaWoiZRUPRuvl7XqV23Dbvrr+9m7EJL0kEM5mHnxzcw3M1xedVqR&#10;nfBBWlPS8cmIEmG4raTZlPTH4+rTOSUhMlMxZY0o6ZMI9Grx8cNl6+ZiYhurKuEJQEyYt66kTYxu&#10;XhSBN0KzcGKdMHDW1msWofpNUXnWAl2rYjIanRat9ZXzlosQYL3pnXRA9O8BtHUtubixfKuFiT2q&#10;F4pFtBQa6QJd5GrrWvB4V9dBRKJKik5jfpEE8jq9xeKSzTeeuUbyoQT2nhJe9aSZNEh6gLphkZGt&#10;l2+gtOTeBlvHE2510TeSGUEX49Erbh4a5kTuBVQHdyA9/D9Y/n1374msSjq5oMQwjYk/ii6SL7Yj&#10;MIGf1oU5wh4cAmMHO7Zmbw8wpra72uv0jYYI/GD36cBuQuMwno5H52fwcLgm49nkdJZQiucfOx/i&#10;V2E1SUJJPYaXOWW72xD70H1IyhWsktVKKpUVv1lfK092DINe5c+A/iJMGdKiks+zUUZ+4UvYB4i1&#10;YvzXWwRUqwyKTpz0vScpdutuIGptqyfw5G2/acHxlQTuLQvxnnmsFgjA8cU7PLWyKMYOEiWN9X/+&#10;ZU/xmDi8lLRY1ZKG31vmBSXqm8EuXIynU8DGrExnZxMo/tizPvaYrb62IGmMM3c8iyk+qr1Ye6t/&#10;4kaXKStczHDkLmnci9exPyDcOBfLZQ7CNjsWb82D4wk6jcTY5TbaWubRJZp6bgb2sM95+MPtpYM5&#10;1nPU8//N4i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4gsg+1wAAAAsBAAAPAAAAAAAAAAEAIAAA&#10;ACIAAABkcnMvZG93bnJldi54bWxQSwECFAAUAAAACACHTuJAQ3cWLkYCAAC3BAAADgAAAAAAAAAB&#10;ACAAAAAmAQAAZHJzL2Uyb0RvYy54bWxQSwUGAAAAAAYABgBZAQAA3gUAAAAA&#10;">
                <v:fill on="t" focussize="0,0"/>
                <v:stroke weight="0.5pt" color="#000000 [3204]" joinstyle="round"/>
                <v:imagedata o:title=""/>
                <o:lock v:ext="edit" aspectratio="f"/>
                <v:textbox>
                  <w:txbxContent>
                    <w:p w14:paraId="468095CE">
                      <w:pPr>
                        <w:rPr>
                          <w:rFonts w:hint="default"/>
                          <w:sz w:val="15"/>
                          <w:szCs w:val="15"/>
                          <w:lang w:val="en-US"/>
                        </w:rPr>
                      </w:pPr>
                      <w:r>
                        <w:rPr>
                          <w:rFonts w:hint="default"/>
                          <w:sz w:val="15"/>
                          <w:szCs w:val="15"/>
                          <w:lang w:val="en-US"/>
                        </w:rPr>
                        <w:t>Ligand</w:t>
                      </w:r>
                    </w:p>
                  </w:txbxContent>
                </v:textbox>
              </v:shape>
            </w:pict>
          </mc:Fallback>
        </mc:AlternateContent>
      </w:r>
      <w:r>
        <w:rPr>
          <w:rFonts w:hint="default" w:ascii="Calibri" w:hAnsi="Calibri" w:cs="Calibri"/>
          <w:sz w:val="20"/>
          <w:szCs w:val="20"/>
        </w:rPr>
        <mc:AlternateContent>
          <mc:Choice Requires="wps">
            <w:drawing>
              <wp:anchor distT="0" distB="0" distL="114300" distR="114300" simplePos="0" relativeHeight="251662336" behindDoc="0" locked="0" layoutInCell="1" allowOverlap="1">
                <wp:simplePos x="0" y="0"/>
                <wp:positionH relativeFrom="column">
                  <wp:posOffset>4189730</wp:posOffset>
                </wp:positionH>
                <wp:positionV relativeFrom="paragraph">
                  <wp:posOffset>2662555</wp:posOffset>
                </wp:positionV>
                <wp:extent cx="586105" cy="6350"/>
                <wp:effectExtent l="0" t="48260" r="10795" b="46990"/>
                <wp:wrapNone/>
                <wp:docPr id="25" name="Straight Arrow Connector 25"/>
                <wp:cNvGraphicFramePr/>
                <a:graphic xmlns:a="http://schemas.openxmlformats.org/drawingml/2006/main">
                  <a:graphicData uri="http://schemas.microsoft.com/office/word/2010/wordprocessingShape">
                    <wps:wsp>
                      <wps:cNvCnPr/>
                      <wps:spPr>
                        <a:xfrm flipV="1">
                          <a:off x="0" y="0"/>
                          <a:ext cx="586105" cy="6350"/>
                        </a:xfrm>
                        <a:prstGeom prst="straightConnector1">
                          <a:avLst/>
                        </a:prstGeom>
                        <a:ln w="9525" cap="flat" cmpd="sng" algn="ctr">
                          <a:solidFill>
                            <a:schemeClr val="accent1"/>
                          </a:solidFill>
                          <a:prstDash val="dash"/>
                          <a:tailEnd type="arrow" w="med" len="med"/>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329.9pt;margin-top:209.65pt;height:0.5pt;width:46.15pt;z-index:251662336;mso-width-relative:page;mso-height-relative:page;" filled="f" stroked="t" coordsize="21600,21600" o:gfxdata="UEsDBAoAAAAAAIdO4kAAAAAAAAAAAAAAAAAEAAAAZHJzL1BLAwQUAAAACACHTuJA9pqMydkAAAAL&#10;AQAADwAAAGRycy9kb3ducmV2LnhtbE2PwU7DMBBE70j8g7VI3KjthBYa4lQUqQJxI+EDnNjEEfE6&#10;ip228PUsJzju7GjmTbk7+5Ed7RyHgArkSgCz2AUzYK/gvTnc3AOLSaPRY0Cr4MtG2FWXF6UuTDjh&#10;mz3WqWcUgrHQClxKU8F57Jz1Oq7CZJF+H2H2OtE599zM+kThfuSZEBvu9YDU4PRkn5ztPuvFKwgu&#10;b5v9wvevh8ZJ9/1cv5jHWqnrKykegCV7Tn9m+MUndKiIqQ0LmshGBZv1ltCTglu5zYGR426dSWAt&#10;KZnIgVcl/7+h+gFQSwMEFAAAAAgAh07iQGZFvtn1AQAA6QMAAA4AAABkcnMvZTJvRG9jLnhtbK1T&#10;y44TMRC8I/EPlu9kkrBZQpTJChKWC2IjLXB3/Jix5Je6vZnk72l7QoDlsgcuo/ajq6vKNeu7k3fs&#10;qAFtDC2fTaac6SCjsqFr+fdv92+WnGEWQQkXg275WSO/27x+tR7SSs9jH53SwAgk4GpILe9zTqum&#10;QdlrL3ASkw50aCJ4kWkJXaNADITuXTOfTm+bIYJKEKVGpN3deMgviPASwGiMlXoX5ZPXIY+ooJ3I&#10;JAl7m5BvKltjtMwPxqDOzLWclOb6pSFUH8q32azFqgOReisvFMRLKDzT5IUNNPQKtRNZsCew/0B5&#10;KyFiNHkio29GIdURUjGbPvPmsRdJVy1kNaar6fj/YOXX4x6YVS2fLzgLwtOLP2YQtusz+wAQB7aN&#10;IZCPERhdIb+GhCtq24Y9XFaY9lDEnwx4ZpxNPyhY1Q4SyE7V7fPVbX3KTNLmYnk7m9JQSUe3bxf1&#10;LZoRpIAlwPxZR89K0XK8kLqyGQeI4xfMRIMafzWU5hDvrXP1cV1gQ8vfL4o+KSiwhoJCpU8kGkPH&#10;mXAd/QkyQ6WM0VlVugsOQnfYOmBHQfm5Wb672X4sFtC0v66V0TuB/XhPUTUGKwvrPgXF8jmRr6LY&#10;yQsbrxVnTtPUUo2ALhBu8XZ0s1SHqM7V5LpPCaiTL2ktEftzXbt//6Gb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aajMnZAAAACwEAAA8AAAAAAAAAAQAgAAAAIgAAAGRycy9kb3ducmV2LnhtbFBL&#10;AQIUABQAAAAIAIdO4kBmRb7Z9QEAAOkDAAAOAAAAAAAAAAEAIAAAACgBAABkcnMvZTJvRG9jLnht&#10;bFBLBQYAAAAABgAGAFkBAACPBQAAAAA=&#10;">
                <v:fill on="f" focussize="0,0"/>
                <v:stroke color="#4874CB [3204]" joinstyle="round" dashstyle="dash" endarrow="open"/>
                <v:imagedata o:title=""/>
                <o:lock v:ext="edit" aspectratio="f"/>
              </v:shape>
            </w:pict>
          </mc:Fallback>
        </mc:AlternateContent>
      </w:r>
      <w:r>
        <w:rPr>
          <w:rFonts w:hint="default" w:ascii="Calibri" w:hAnsi="Calibri" w:cs="Calibri"/>
          <w:sz w:val="20"/>
          <w:szCs w:val="20"/>
        </w:rPr>
        <mc:AlternateContent>
          <mc:Choice Requires="wps">
            <w:drawing>
              <wp:anchor distT="0" distB="0" distL="114300" distR="114300" simplePos="0" relativeHeight="251664384" behindDoc="0" locked="0" layoutInCell="1" allowOverlap="1">
                <wp:simplePos x="0" y="0"/>
                <wp:positionH relativeFrom="column">
                  <wp:posOffset>4895215</wp:posOffset>
                </wp:positionH>
                <wp:positionV relativeFrom="paragraph">
                  <wp:posOffset>2341245</wp:posOffset>
                </wp:positionV>
                <wp:extent cx="610870" cy="215265"/>
                <wp:effectExtent l="4445" t="4445" r="6985" b="8890"/>
                <wp:wrapNone/>
                <wp:docPr id="28" name="Text Box 28"/>
                <wp:cNvGraphicFramePr/>
                <a:graphic xmlns:a="http://schemas.openxmlformats.org/drawingml/2006/main">
                  <a:graphicData uri="http://schemas.microsoft.com/office/word/2010/wordprocessingShape">
                    <wps:wsp>
                      <wps:cNvSpPr txBox="1"/>
                      <wps:spPr>
                        <a:xfrm>
                          <a:off x="0" y="0"/>
                          <a:ext cx="610870" cy="2152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020A8BC">
                            <w:pPr>
                              <w:rPr>
                                <w:rFonts w:hint="default"/>
                                <w:sz w:val="15"/>
                                <w:szCs w:val="15"/>
                                <w:lang w:val="en-US"/>
                              </w:rPr>
                            </w:pPr>
                            <w:r>
                              <w:rPr>
                                <w:rFonts w:hint="default"/>
                                <w:sz w:val="15"/>
                                <w:szCs w:val="15"/>
                                <w:lang w:val="en-US"/>
                              </w:rPr>
                              <w:t>Backbone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5.45pt;margin-top:184.35pt;height:16.95pt;width:48.1pt;z-index:251664384;mso-width-relative:page;mso-height-relative:page;" fillcolor="#FFFFFF [3201]" filled="t" stroked="t" coordsize="21600,21600" o:gfxdata="UEsDBAoAAAAAAIdO4kAAAAAAAAAAAAAAAAAEAAAAZHJzL1BLAwQUAAAACACHTuJAZLHVPtgAAAAL&#10;AQAADwAAAGRycy9kb3ducmV2LnhtbE2Py07DMBBF90j8gzWV2FE7CUpCyKQSSEiIHSUbdm48TaL6&#10;EdluU/4es4Ll6B7de6bdXY1mF/JhdhYh2wpgZAenZjsi9J+v9zWwEKVVUjtLCN8UYNfd3rSyUW61&#10;H3TZx5GlEhsaiTDFuDSch2EiI8PWLWRTdnTeyJhOP3Ll5ZrKjea5ECU3crZpYZILvUw0nPZng/BW&#10;Pscv6tW7KvLCrT0f/FEHxLtNJp6ARbrGPxh+9ZM6dMnp4M5WBaYRqko8JhShKOsKWCLqssqAHRAe&#10;RF4C71r+/4fuB1BLAwQUAAAACACHTuJA8/6410YCAAC3BAAADgAAAGRycy9lMm9Eb2MueG1srVRL&#10;bxoxEL5X6n+wfG8WKOSBskQ0EVWlqImUVD0br5e16ldtw2766/vZuxCS9JBDOZh58c3MNzNcXnVa&#10;kZ3wQVpT0vHJiBJhuK2k2ZT0x+Pq0zklITJTMWWNKOmTCPRq8fHDZevmYmIbqyrhCUBMmLeupE2M&#10;bl4UgTdCs3BinTBw1tZrFqH6TVF51gJdq2IyGp0WrfWV85aLEGC96Z10QPTvAbR1Lbm4sXyrhYk9&#10;qheKRbQUGukCXeRq61rweFfXQUSiSopOY36RBPI6vcXiks03nrlG8qEE9p4SXvWkmTRIeoC6YZGR&#10;rZdvoLTk3gZbxxNuddE3khlBF+PRK24eGuZE7gVUB3cgPfw/WP59d++JrEo6wdwN05j4o+gi+WI7&#10;AhP4aV2YI+zBITB2sGNr9vYAY2q7q71O32iIwA92nw7sJjQO4+l4dH4GD4drMp5NTmcJpXj+sfMh&#10;fhVWkySU1GN4mVO2uw2xD92HpFzBKlmtpFJZ8Zv1tfJkxzDoVf4M6C/ClCEtKvk8G2XkF76EfYBY&#10;K8Z/vUVAtcqg6MRJ33uSYrfuBqLWtnoCT972mxYcX0ng3rIQ75nHaoEAHF+8w1Mri2LsIFHSWP/n&#10;X/YUj4nDS0mLVS1p+L1lXlCivhnswsV4OgVszMp0djaB4o8962OP2eprC5LGOHPHs5jio9qLtbf6&#10;J250mbLCxQxH7pLGvXgd+wPCjXOxXOYgbLNj8dY8OJ6g00iMXW6jrWUeXaKp52ZgD/uchz/cXjqY&#10;Yz1HPf/fLP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ZLHVPtgAAAALAQAADwAAAAAAAAABACAA&#10;AAAiAAAAZHJzL2Rvd25yZXYueG1sUEsBAhQAFAAAAAgAh07iQPP+uNdGAgAAtwQAAA4AAAAAAAAA&#10;AQAgAAAAJwEAAGRycy9lMm9Eb2MueG1sUEsFBgAAAAAGAAYAWQEAAN8FAAAAAA==&#10;">
                <v:fill on="t" focussize="0,0"/>
                <v:stroke weight="0.5pt" color="#000000 [3204]" joinstyle="round"/>
                <v:imagedata o:title=""/>
                <o:lock v:ext="edit" aspectratio="f"/>
                <v:textbox>
                  <w:txbxContent>
                    <w:p w14:paraId="0020A8BC">
                      <w:pPr>
                        <w:rPr>
                          <w:rFonts w:hint="default"/>
                          <w:sz w:val="15"/>
                          <w:szCs w:val="15"/>
                          <w:lang w:val="en-US"/>
                        </w:rPr>
                      </w:pPr>
                      <w:r>
                        <w:rPr>
                          <w:rFonts w:hint="default"/>
                          <w:sz w:val="15"/>
                          <w:szCs w:val="15"/>
                          <w:lang w:val="en-US"/>
                        </w:rPr>
                        <w:t>Backbone</w:t>
                      </w:r>
                    </w:p>
                  </w:txbxContent>
                </v:textbox>
              </v:shape>
            </w:pict>
          </mc:Fallback>
        </mc:AlternateContent>
      </w:r>
      <w:r>
        <w:rPr>
          <w:rFonts w:hint="default" w:ascii="Calibri" w:hAnsi="Calibri" w:cs="Calibri"/>
          <w:sz w:val="20"/>
          <w:szCs w:val="20"/>
        </w:rPr>
        <mc:AlternateContent>
          <mc:Choice Requires="wps">
            <w:drawing>
              <wp:anchor distT="0" distB="0" distL="114300" distR="114300" simplePos="0" relativeHeight="251660288" behindDoc="0" locked="0" layoutInCell="1" allowOverlap="1">
                <wp:simplePos x="0" y="0"/>
                <wp:positionH relativeFrom="column">
                  <wp:posOffset>4224020</wp:posOffset>
                </wp:positionH>
                <wp:positionV relativeFrom="paragraph">
                  <wp:posOffset>2482850</wp:posOffset>
                </wp:positionV>
                <wp:extent cx="586105" cy="6350"/>
                <wp:effectExtent l="0" t="48260" r="10795" b="46990"/>
                <wp:wrapNone/>
                <wp:docPr id="35" name="Straight Arrow Connector 35"/>
                <wp:cNvGraphicFramePr/>
                <a:graphic xmlns:a="http://schemas.openxmlformats.org/drawingml/2006/main">
                  <a:graphicData uri="http://schemas.microsoft.com/office/word/2010/wordprocessingShape">
                    <wps:wsp>
                      <wps:cNvCnPr/>
                      <wps:spPr>
                        <a:xfrm flipV="1">
                          <a:off x="0" y="0"/>
                          <a:ext cx="586105" cy="6350"/>
                        </a:xfrm>
                        <a:prstGeom prst="straightConnector1">
                          <a:avLst/>
                        </a:prstGeom>
                        <a:ln w="9525" cap="flat" cmpd="sng" algn="ctr">
                          <a:solidFill>
                            <a:schemeClr val="accent1"/>
                          </a:solidFill>
                          <a:prstDash val="dash"/>
                          <a:tailEnd type="arrow" w="med" len="med"/>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332.6pt;margin-top:195.5pt;height:0.5pt;width:46.15pt;z-index:251660288;mso-width-relative:page;mso-height-relative:page;" filled="f" stroked="t" coordsize="21600,21600" o:gfxdata="UEsDBAoAAAAAAIdO4kAAAAAAAAAAAAAAAAAEAAAAZHJzL1BLAwQUAAAACACHTuJAil8p1dgAAAAL&#10;AQAADwAAAGRycy9kb3ducmV2LnhtbE2PQU7DMBBF90jcwRokdtROqqQ0xKkoUgViR8IBnNiNI+Jx&#10;FDtt4fRMV7Ccmac/75e7ixvZycxh8CghWQlgBjuvB+wlfDaHh0dgISrUavRoJHybALvq9qZUhfZn&#10;/DCnOvaMQjAUSoKNcSo4D501ToWVnwzS7ehnpyKNc8/1rM4U7kaeCpFzpwakD1ZN5sWa7qtenARv&#10;122zX/j+/dDYxP681m/6uZby/i4RT8CiucQ/GK76pA4VObV+QR3YKCHPs5RQCettQqWI2GSbDFh7&#10;3aQCeFXy/x2qX1BLAwQUAAAACACHTuJA/9VQffYBAADpAwAADgAAAGRycy9lMm9Eb2MueG1srVPL&#10;jhMxELwj8Q+W72SS7GYJUSYrSFguCCItcHf8mLHkl7q9meTvaXtCgOWyBy6j9qOruso16/uTd+yo&#10;AW0MLZ9NppzpIKOyoWv5928Pb5acYRZBCReDbvlZI7/fvH61HtJKz2MfndLACCTgakgt73NOq6ZB&#10;2WsvcBKTDnRoIniRaQldo0AMhO5dM59O75ohgkoQpUak3d14yC+I8BLAaIyVehflk9chj6igncgk&#10;CXubkG/qtMZomb8agzoz13JSmuuXSKg+lG+zWYtVByL1Vl5GEC8Z4ZkmL2wg0ivUTmTBnsD+A+Wt&#10;hIjR5ImMvhmFVEdIxWz6zJvHXiRdtZDVmK6m4/+DlV+Oe2BWtfxmwVkQnl78MYOwXZ/Ze4A4sG0M&#10;gXyMwOgK+TUkXFHbNuzhssK0hyL+ZMAz42z6QcGqdpBAdqpun69u61NmkjYXy7vZlEglHd3dLOpb&#10;NCNIAUuA+ZOOnpWi5XgZ6jrNSCCOnzHTGNT4q6E0h/hgnauP6wIbWv5uMS9UggJrKChU+kSiMXSc&#10;CdfRnyAz1JExOqtKd8FB6A5bB+woKD+3y7e32w/FAmL761qh3gnsx3uKqjFYWVj3MSiWz4l8FcVO&#10;XqbxWnHmNLGWagR0gXCLt6ObpTpEda4m131KQGW+pLVE7M917f79h25+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IpfKdXYAAAACwEAAA8AAAAAAAAAAQAgAAAAIgAAAGRycy9kb3ducmV2LnhtbFBL&#10;AQIUABQAAAAIAIdO4kD/1VB99gEAAOkDAAAOAAAAAAAAAAEAIAAAACcBAABkcnMvZTJvRG9jLnht&#10;bFBLBQYAAAAABgAGAFkBAACPBQAAAAA=&#10;">
                <v:fill on="f" focussize="0,0"/>
                <v:stroke color="#4874CB [3204]" joinstyle="round" dashstyle="dash" endarrow="open"/>
                <v:imagedata o:title=""/>
                <o:lock v:ext="edit" aspectratio="f"/>
              </v:shape>
            </w:pict>
          </mc:Fallback>
        </mc:AlternateContent>
      </w:r>
      <w:r>
        <w:rPr>
          <w:rFonts w:hint="default" w:ascii="Calibri" w:hAnsi="Calibri" w:cs="Calibri"/>
          <w:sz w:val="20"/>
          <w:szCs w:val="20"/>
        </w:rPr>
        <mc:AlternateContent>
          <mc:Choice Requires="wps">
            <w:drawing>
              <wp:anchor distT="0" distB="0" distL="114300" distR="114300" simplePos="0" relativeHeight="251663360" behindDoc="0" locked="0" layoutInCell="1" allowOverlap="1">
                <wp:simplePos x="0" y="0"/>
                <wp:positionH relativeFrom="column">
                  <wp:posOffset>4718685</wp:posOffset>
                </wp:positionH>
                <wp:positionV relativeFrom="paragraph">
                  <wp:posOffset>882015</wp:posOffset>
                </wp:positionV>
                <wp:extent cx="610870" cy="215265"/>
                <wp:effectExtent l="4445" t="4445" r="6985" b="8890"/>
                <wp:wrapNone/>
                <wp:docPr id="36" name="Text Box 36"/>
                <wp:cNvGraphicFramePr/>
                <a:graphic xmlns:a="http://schemas.openxmlformats.org/drawingml/2006/main">
                  <a:graphicData uri="http://schemas.microsoft.com/office/word/2010/wordprocessingShape">
                    <wps:wsp>
                      <wps:cNvSpPr txBox="1"/>
                      <wps:spPr>
                        <a:xfrm>
                          <a:off x="0" y="0"/>
                          <a:ext cx="610870" cy="2152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B58FD1A">
                            <w:pPr>
                              <w:rPr>
                                <w:rFonts w:hint="default"/>
                                <w:sz w:val="15"/>
                                <w:szCs w:val="15"/>
                                <w:lang w:val="en-US"/>
                              </w:rPr>
                            </w:pPr>
                            <w:r>
                              <w:rPr>
                                <w:rFonts w:hint="default"/>
                                <w:sz w:val="15"/>
                                <w:szCs w:val="15"/>
                                <w:lang w:val="en-US"/>
                              </w:rPr>
                              <w:t>Complex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1.55pt;margin-top:69.45pt;height:16.95pt;width:48.1pt;z-index:251663360;mso-width-relative:page;mso-height-relative:page;" fillcolor="#FFFFFF [3201]" filled="t" stroked="t" coordsize="21600,21600" o:gfxdata="UEsDBAoAAAAAAIdO4kAAAAAAAAAAAAAAAAAEAAAAZHJzL1BLAwQUAAAACACHTuJAr3xEjtcAAAAL&#10;AQAADwAAAGRycy9kb3ducmV2LnhtbE2PwU7DMAyG70i8Q2Qkbixtg7auNJ0EEhLixtYLt6zx2orG&#10;qZJsHW+POcHR/j/9/lzvrm4SFwxx9KQhX2UgkDpvR+o1tIfXhxJETIasmTyhhm+MsGtub2pTWb/Q&#10;B172qRdcQrEyGoaU5krK2A3oTFz5GYmzkw/OJB5DL20wC5e7SRZZtpbOjMQXBjPjy4Dd1/7sNLyt&#10;n9MntvbdqkL5pZVdOE1R6/u7PHsCkfCa/mD41Wd1aNjp6M9ko5g0bB5VzigHqtyCYKJUWwXiyJtN&#10;UYJsavn/h+YHUEsDBBQAAAAIAIdO4kARiOTERgIAALcEAAAOAAAAZHJzL2Uyb0RvYy54bWytVEtv&#10;GjEQvlfqf7B8bxZIICnKEtFEVJWiJhKpejZeL2vVr9qG3fTX97N3Ia8ecigHMy++mflmhsurTiuy&#10;Fz5Ia0o6PhlRIgy3lTTbkv54WH26oCREZiqmrBElfRSBXi0+frhs3VxMbGNVJTwBiAnz1pW0idHN&#10;iyLwRmgWTqwTBs7aes0iVL8tKs9aoGtVTEajWdFaXzlvuQgB1pveSQdE/x5AW9eSixvLd1qY2KN6&#10;oVhES6GRLtBFrrauBY93dR1EJKqk6DTmF0kgb9JbLC7ZfOuZayQfSmDvKeFVT5pJg6RHqBsWGdl5&#10;+QZKS+5tsHU84VYXfSOZEXQxHr3iZt0wJ3IvoDq4I+nh/8Hy7/t7T2RV0tMZJYZpTPxBdJF8sR2B&#10;Cfy0LswRtnYIjB3s2JqDPcCY2u5qr9M3GiLwg93HI7sJjcM4G48uzuHhcE3G08lsmlCKpx87H+JX&#10;YTVJQkk9hpc5ZfvbEPvQQ0jKFayS1UoqlRW/3VwrT/YMg17lz4D+IkwZ0qKS0+koI7/wJewjxEYx&#10;/ustAqpVBkUnTvrekxS7TTcQtbHVI3jytt+04PhKAveWhXjPPFYLBOD44h2eWlkUYweJksb6P/+y&#10;p3hMHF5KWqxqScPvHfOCEvXNYBc+j8/OABuzcjY9n0Dxzz2b5x6z09cWJI1x5o5nMcVHdRBrb/VP&#10;3OgyZYWLGY7cJY0H8Tr2B4Qb52K5zEHYZsfirVk7nqDTSIxd7qKtZR5doqnnZmAP+5yHP9xeOpjn&#10;eo56+r9Z/A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vfESO1wAAAAsBAAAPAAAAAAAAAAEAIAAA&#10;ACIAAABkcnMvZG93bnJldi54bWxQSwECFAAUAAAACACHTuJAEYjkxEYCAAC3BAAADgAAAAAAAAAB&#10;ACAAAAAmAQAAZHJzL2Uyb0RvYy54bWxQSwUGAAAAAAYABgBZAQAA3gUAAAAA&#10;">
                <v:fill on="t" focussize="0,0"/>
                <v:stroke weight="0.5pt" color="#000000 [3204]" joinstyle="round"/>
                <v:imagedata o:title=""/>
                <o:lock v:ext="edit" aspectratio="f"/>
                <v:textbox>
                  <w:txbxContent>
                    <w:p w14:paraId="7B58FD1A">
                      <w:pPr>
                        <w:rPr>
                          <w:rFonts w:hint="default"/>
                          <w:sz w:val="15"/>
                          <w:szCs w:val="15"/>
                          <w:lang w:val="en-US"/>
                        </w:rPr>
                      </w:pPr>
                      <w:r>
                        <w:rPr>
                          <w:rFonts w:hint="default"/>
                          <w:sz w:val="15"/>
                          <w:szCs w:val="15"/>
                          <w:lang w:val="en-US"/>
                        </w:rPr>
                        <w:t>Complex</w:t>
                      </w:r>
                    </w:p>
                  </w:txbxContent>
                </v:textbox>
              </v:shape>
            </w:pict>
          </mc:Fallback>
        </mc:AlternateContent>
      </w:r>
      <w:r>
        <w:rPr>
          <w:rFonts w:hint="default" w:ascii="Calibri" w:hAnsi="Calibri" w:cs="Calibri"/>
          <w:sz w:val="20"/>
          <w:szCs w:val="20"/>
        </w:rPr>
        <mc:AlternateContent>
          <mc:Choice Requires="wps">
            <w:drawing>
              <wp:anchor distT="0" distB="0" distL="114300" distR="114300" simplePos="0" relativeHeight="251661312" behindDoc="0" locked="0" layoutInCell="1" allowOverlap="1">
                <wp:simplePos x="0" y="0"/>
                <wp:positionH relativeFrom="column">
                  <wp:posOffset>4057650</wp:posOffset>
                </wp:positionH>
                <wp:positionV relativeFrom="paragraph">
                  <wp:posOffset>972185</wp:posOffset>
                </wp:positionV>
                <wp:extent cx="586105" cy="6350"/>
                <wp:effectExtent l="0" t="48260" r="10795" b="46990"/>
                <wp:wrapNone/>
                <wp:docPr id="24" name="Straight Arrow Connector 24"/>
                <wp:cNvGraphicFramePr/>
                <a:graphic xmlns:a="http://schemas.openxmlformats.org/drawingml/2006/main">
                  <a:graphicData uri="http://schemas.microsoft.com/office/word/2010/wordprocessingShape">
                    <wps:wsp>
                      <wps:cNvCnPr/>
                      <wps:spPr>
                        <a:xfrm flipV="1">
                          <a:off x="0" y="0"/>
                          <a:ext cx="586105" cy="6350"/>
                        </a:xfrm>
                        <a:prstGeom prst="straightConnector1">
                          <a:avLst/>
                        </a:prstGeom>
                        <a:ln w="9525" cap="flat" cmpd="sng" algn="ctr">
                          <a:solidFill>
                            <a:schemeClr val="accent1"/>
                          </a:solidFill>
                          <a:prstDash val="dash"/>
                          <a:tailEnd type="arrow" w="med" len="med"/>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319.5pt;margin-top:76.55pt;height:0.5pt;width:46.15pt;z-index:251661312;mso-width-relative:page;mso-height-relative:page;" filled="f" stroked="t" coordsize="21600,21600" o:gfxdata="UEsDBAoAAAAAAIdO4kAAAAAAAAAAAAAAAAAEAAAAZHJzL1BLAwQUAAAACACHTuJAY7GQCNcAAAAL&#10;AQAADwAAAGRycy9kb3ducmV2LnhtbE2PwU7DMBBE70j8g7VI3KhjAgVCnIoiVSBuJHyAEy9xRLyO&#10;YqctfD3bExx3ZjT7ptwc/Sj2OMchkAa1ykAgdcEO1Gv4aHZX9yBiMmTNGAg1fGOETXV+VprChgO9&#10;475OveASioXR4FKaCilj59CbuAoTEnufYfYm8Tn30s7mwOV+lNdZtpbeDMQfnJnw2WH3VS9eQ3B5&#10;22wXuX3bNU65n5f61T7VWl9eqOwRRMJj+gvDCZ/RoWKmNixkoxg1rPMH3pLYuM0VCE7c5SoH0Z6U&#10;GwWyKuX/DdUvUEsDBBQAAAAIAIdO4kAAserm9gEAAOkDAAAOAAAAZHJzL2Uyb0RvYy54bWytU02P&#10;0zAQvSPxHyzfadrSllI1XUHLckFspQXuru0klvylGW/T/nvGTiiwXPbAJRp/zJv3nl+2dxdn2VkD&#10;muBrPptMOdNeBmV8W/Pv3+7frDnDJLwSNnhd86tGfrd7/Wrbx42ehy5YpYERiMdNH2vepRQ3VYWy&#10;007gJETt6bAJ4ESiJbSVAtETurPVfDpdVX0AFSFIjUi7h+GQj4jwEsDQNEbqQ5BPTvs0oIK2IpEk&#10;7ExEvitsm0bL9NA0qBOzNSelqXxpCNWn/K12W7FpQcTOyJGCeAmFZ5qcMJ6G3qAOIgn2BOYfKGck&#10;BAxNmsjgqkFIcYRUzKbPvHnsRNRFC1mN8WY6/j9Y+fV8BGZUzecLzrxw9OKPCYRpu8Q+AISe7YP3&#10;5GMARlfIrz7ihtr2/gjjCuMRsvhLA4411sQfFKxiBwlkl+L29ea2viQmaXO5Xs2mS84kHa3eLstb&#10;VANIBouA6bMOjuWi5jiSurEZBojzF0xEgxp/NeRmH+6NteVxrWd9zd8v53mUoMA2FBQqXSTR6FvO&#10;hG3pT5AJCmUM1qjcnXEQ2tPeAjsLys9i/W6x/5gtoGl/XcujDwK74Z6iaghWEsZ+8oqlayRfRbaT&#10;ZzZOK86spqm5GgCtJ9zs7eBmrk5BXYvJZZ8SUCaPac0R+3Ndun//ob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Y7GQCNcAAAALAQAADwAAAAAAAAABACAAAAAiAAAAZHJzL2Rvd25yZXYueG1sUEsB&#10;AhQAFAAAAAgAh07iQACx6ub2AQAA6QMAAA4AAAAAAAAAAQAgAAAAJgEAAGRycy9lMm9Eb2MueG1s&#10;UEsFBgAAAAAGAAYAWQEAAI4FAAAAAA==&#10;">
                <v:fill on="f" focussize="0,0"/>
                <v:stroke color="#4874CB [3204]" joinstyle="round" dashstyle="dash" endarrow="open"/>
                <v:imagedata o:title=""/>
                <o:lock v:ext="edit" aspectratio="f"/>
              </v:shape>
            </w:pict>
          </mc:Fallback>
        </mc:AlternateContent>
      </w:r>
      <w:r>
        <w:rPr>
          <w:rFonts w:hint="default" w:ascii="Calibri" w:hAnsi="Calibri" w:cs="Calibri"/>
          <w:lang w:val="en-US" w:eastAsia="en-GB"/>
        </w:rPr>
        <w:drawing>
          <wp:inline distT="0" distB="0" distL="114300" distR="114300">
            <wp:extent cx="4809490" cy="3716655"/>
            <wp:effectExtent l="0" t="0" r="3810" b="4445"/>
            <wp:docPr id="22" name="Picture 22" descr="rm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rmsd"/>
                    <pic:cNvPicPr>
                      <a:picLocks noChangeAspect="1"/>
                    </pic:cNvPicPr>
                  </pic:nvPicPr>
                  <pic:blipFill>
                    <a:blip r:embed="rId25"/>
                    <a:stretch>
                      <a:fillRect/>
                    </a:stretch>
                  </pic:blipFill>
                  <pic:spPr>
                    <a:xfrm>
                      <a:off x="0" y="0"/>
                      <a:ext cx="4809490" cy="3716655"/>
                    </a:xfrm>
                    <a:prstGeom prst="rect">
                      <a:avLst/>
                    </a:prstGeom>
                  </pic:spPr>
                </pic:pic>
              </a:graphicData>
            </a:graphic>
          </wp:inline>
        </w:drawing>
      </w:r>
    </w:p>
    <w:p w14:paraId="3B2C4ACA">
      <w:pPr>
        <w:spacing w:before="40" w:after="140"/>
        <w:jc w:val="center"/>
        <w:rPr>
          <w:rFonts w:hint="default" w:ascii="Calibri" w:hAnsi="Calibri" w:cs="Calibri"/>
          <w:sz w:val="20"/>
          <w:szCs w:val="20"/>
        </w:rPr>
      </w:pPr>
      <w:r>
        <w:rPr>
          <w:rFonts w:hint="default" w:ascii="Calibri" w:hAnsi="Calibri" w:eastAsia="Arial" w:cs="Calibri"/>
          <w:i/>
          <w:iCs/>
          <w:color w:val="555555"/>
          <w:sz w:val="20"/>
          <w:szCs w:val="20"/>
        </w:rPr>
        <w:t xml:space="preserve">Figure </w:t>
      </w:r>
      <w:r>
        <w:rPr>
          <w:rFonts w:hint="default" w:ascii="Calibri" w:hAnsi="Calibri" w:cs="Calibri"/>
          <w:i/>
          <w:iCs/>
          <w:color w:val="555555"/>
          <w:sz w:val="20"/>
          <w:szCs w:val="20"/>
          <w:lang w:val="en-US"/>
        </w:rPr>
        <w:t>7</w:t>
      </w:r>
      <w:r>
        <w:rPr>
          <w:rFonts w:hint="default" w:ascii="Calibri" w:hAnsi="Calibri" w:eastAsia="Arial" w:cs="Calibri"/>
          <w:i/>
          <w:iCs/>
          <w:color w:val="555555"/>
          <w:sz w:val="20"/>
          <w:szCs w:val="20"/>
        </w:rPr>
        <w:t xml:space="preserve">: RMSD of </w:t>
      </w:r>
      <w:r>
        <w:rPr>
          <w:rFonts w:hint="default" w:ascii="Calibri" w:hAnsi="Calibri" w:cs="Calibri"/>
          <w:i/>
          <w:iCs/>
          <w:color w:val="555555"/>
          <w:sz w:val="20"/>
          <w:szCs w:val="20"/>
          <w:lang w:val="en-US"/>
        </w:rPr>
        <w:t>ligand</w:t>
      </w:r>
      <w:r>
        <w:rPr>
          <w:rFonts w:hint="default" w:ascii="Calibri" w:hAnsi="Calibri" w:eastAsia="Arial" w:cs="Calibri"/>
          <w:i/>
          <w:iCs/>
          <w:color w:val="555555"/>
          <w:sz w:val="20"/>
          <w:szCs w:val="20"/>
        </w:rPr>
        <w:t xml:space="preserve"> (black), protein </w:t>
      </w:r>
      <w:r>
        <w:rPr>
          <w:rFonts w:hint="default" w:ascii="Calibri" w:hAnsi="Calibri" w:cs="Calibri"/>
          <w:i/>
          <w:iCs/>
          <w:color w:val="555555"/>
          <w:sz w:val="20"/>
          <w:szCs w:val="20"/>
          <w:lang w:val="en-US"/>
        </w:rPr>
        <w:t>backbone</w:t>
      </w:r>
      <w:r>
        <w:rPr>
          <w:rFonts w:hint="default" w:ascii="Calibri" w:hAnsi="Calibri" w:eastAsia="Arial" w:cs="Calibri"/>
          <w:i/>
          <w:iCs/>
          <w:color w:val="555555"/>
          <w:sz w:val="20"/>
          <w:szCs w:val="20"/>
        </w:rPr>
        <w:t xml:space="preserve"> (red), and </w:t>
      </w:r>
      <w:r>
        <w:rPr>
          <w:rFonts w:hint="default" w:ascii="Calibri" w:hAnsi="Calibri" w:cs="Calibri"/>
          <w:i/>
          <w:iCs/>
          <w:color w:val="555555"/>
          <w:sz w:val="20"/>
          <w:szCs w:val="20"/>
          <w:lang w:val="en-US"/>
        </w:rPr>
        <w:t>complex</w:t>
      </w:r>
      <w:r>
        <w:rPr>
          <w:rFonts w:hint="default" w:ascii="Calibri" w:hAnsi="Calibri" w:eastAsia="Arial" w:cs="Calibri"/>
          <w:i/>
          <w:iCs/>
          <w:color w:val="555555"/>
          <w:sz w:val="20"/>
          <w:szCs w:val="20"/>
        </w:rPr>
        <w:t xml:space="preserve"> (green) over 10 ns.</w:t>
      </w:r>
    </w:p>
    <w:p w14:paraId="71BDD594">
      <w:pPr>
        <w:numPr>
          <w:ilvl w:val="0"/>
          <w:numId w:val="0"/>
        </w:numPr>
        <w:jc w:val="left"/>
        <w:rPr>
          <w:rFonts w:hint="default" w:ascii="Calibri" w:hAnsi="Calibri" w:cs="Calibri"/>
          <w:lang w:val="en-US" w:eastAsia="en-GB"/>
        </w:rPr>
      </w:pPr>
      <w:r>
        <w:rPr>
          <w:rFonts w:hint="default" w:ascii="Calibri" w:hAnsi="Calibri" w:cs="Calibri"/>
          <w:lang w:val="en-US" w:eastAsia="en-GB"/>
        </w:rPr>
        <w:t>The root mean square deviation (RMSD) plot was used to evaluate the structural stability of the complex over a 10ns molecular dynamics simulation. RMSD measures the deviation of atomic positions from the initial structure, providing insight into system equilibration and stability.</w:t>
      </w:r>
    </w:p>
    <w:p w14:paraId="6EFE6D1E">
      <w:pPr>
        <w:numPr>
          <w:ilvl w:val="0"/>
          <w:numId w:val="0"/>
        </w:numPr>
        <w:jc w:val="left"/>
        <w:rPr>
          <w:rFonts w:hint="default" w:ascii="Calibri" w:hAnsi="Calibri" w:cs="Calibri"/>
          <w:lang w:val="en-US" w:eastAsia="en-GB"/>
        </w:rPr>
      </w:pPr>
    </w:p>
    <w:p w14:paraId="5C683C5C">
      <w:pPr>
        <w:numPr>
          <w:ilvl w:val="0"/>
          <w:numId w:val="0"/>
        </w:numPr>
        <w:jc w:val="left"/>
        <w:rPr>
          <w:rFonts w:hint="default" w:ascii="Calibri" w:hAnsi="Calibri" w:cs="Calibri"/>
          <w:lang w:val="en-US" w:eastAsia="en-GB"/>
        </w:rPr>
      </w:pPr>
      <w:r>
        <w:rPr>
          <w:rFonts w:hint="default" w:ascii="Calibri" w:hAnsi="Calibri" w:cs="Calibri"/>
          <w:b/>
          <w:bCs/>
          <w:lang w:val="en-US" w:eastAsia="en-GB"/>
        </w:rPr>
        <w:t>The Protein backbone RMSD-</w:t>
      </w:r>
      <w:r>
        <w:rPr>
          <w:rFonts w:hint="default" w:ascii="Calibri" w:hAnsi="Calibri" w:cs="Calibri"/>
          <w:lang w:val="en-US" w:eastAsia="en-GB"/>
        </w:rPr>
        <w:t xml:space="preserve"> remains stable throughout the simulation fluctuating around ~0.12- 0.15 nm.These small and consistent deviations indicate that the protein maintains its structural integrity. N major conformational changes are observed, suggesting that the protein is well equilibrated and structurally stable.</w:t>
      </w:r>
    </w:p>
    <w:p w14:paraId="4DF9ED5B">
      <w:pPr>
        <w:numPr>
          <w:ilvl w:val="0"/>
          <w:numId w:val="0"/>
        </w:numPr>
        <w:jc w:val="left"/>
        <w:rPr>
          <w:rFonts w:hint="default" w:ascii="Calibri" w:hAnsi="Calibri" w:cs="Calibri"/>
          <w:lang w:val="en-US" w:eastAsia="en-GB"/>
        </w:rPr>
      </w:pPr>
    </w:p>
    <w:p w14:paraId="44B24555">
      <w:pPr>
        <w:numPr>
          <w:ilvl w:val="0"/>
          <w:numId w:val="0"/>
        </w:numPr>
        <w:jc w:val="center"/>
        <w:rPr>
          <w:rFonts w:hint="default" w:ascii="Calibri" w:hAnsi="Calibri" w:cs="Calibri"/>
          <w:lang w:val="en-US" w:eastAsia="en-GB"/>
        </w:rPr>
      </w:pPr>
      <w:r>
        <w:rPr>
          <w:rFonts w:hint="default" w:ascii="Calibri" w:hAnsi="Calibri" w:cs="Calibri"/>
          <w:lang w:val="en-US" w:eastAsia="en-GB"/>
        </w:rPr>
        <w:drawing>
          <wp:inline distT="0" distB="0" distL="114300" distR="114300">
            <wp:extent cx="2339975" cy="1807845"/>
            <wp:effectExtent l="0" t="0" r="9525" b="8255"/>
            <wp:docPr id="30" name="Picture 30" descr="prot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protein"/>
                    <pic:cNvPicPr>
                      <a:picLocks noChangeAspect="1"/>
                    </pic:cNvPicPr>
                  </pic:nvPicPr>
                  <pic:blipFill>
                    <a:blip r:embed="rId26"/>
                    <a:stretch>
                      <a:fillRect/>
                    </a:stretch>
                  </pic:blipFill>
                  <pic:spPr>
                    <a:xfrm>
                      <a:off x="0" y="0"/>
                      <a:ext cx="2339975" cy="1807845"/>
                    </a:xfrm>
                    <a:prstGeom prst="rect">
                      <a:avLst/>
                    </a:prstGeom>
                  </pic:spPr>
                </pic:pic>
              </a:graphicData>
            </a:graphic>
          </wp:inline>
        </w:drawing>
      </w:r>
    </w:p>
    <w:p w14:paraId="333A947E">
      <w:pPr>
        <w:spacing w:before="40" w:after="140"/>
        <w:jc w:val="center"/>
        <w:rPr>
          <w:rFonts w:hint="default" w:ascii="Calibri" w:hAnsi="Calibri" w:cs="Calibri"/>
          <w:sz w:val="20"/>
          <w:szCs w:val="20"/>
        </w:rPr>
      </w:pPr>
      <w:r>
        <w:rPr>
          <w:rFonts w:hint="default" w:ascii="Calibri" w:hAnsi="Calibri" w:eastAsia="Arial" w:cs="Calibri"/>
          <w:i/>
          <w:iCs/>
          <w:color w:val="555555"/>
          <w:sz w:val="20"/>
          <w:szCs w:val="20"/>
        </w:rPr>
        <w:t xml:space="preserve">Figure </w:t>
      </w:r>
      <w:r>
        <w:rPr>
          <w:rFonts w:hint="default" w:ascii="Calibri" w:hAnsi="Calibri" w:cs="Calibri"/>
          <w:i/>
          <w:iCs/>
          <w:color w:val="555555"/>
          <w:sz w:val="20"/>
          <w:szCs w:val="20"/>
          <w:lang w:val="en-US"/>
        </w:rPr>
        <w:t>8</w:t>
      </w:r>
      <w:r>
        <w:rPr>
          <w:rFonts w:hint="default" w:ascii="Calibri" w:hAnsi="Calibri" w:eastAsia="Arial" w:cs="Calibri"/>
          <w:i/>
          <w:iCs/>
          <w:color w:val="555555"/>
          <w:sz w:val="20"/>
          <w:szCs w:val="20"/>
        </w:rPr>
        <w:t xml:space="preserve">: RMSD of  protein </w:t>
      </w:r>
      <w:r>
        <w:rPr>
          <w:rFonts w:hint="default" w:ascii="Calibri" w:hAnsi="Calibri" w:cs="Calibri"/>
          <w:i/>
          <w:iCs/>
          <w:color w:val="555555"/>
          <w:sz w:val="20"/>
          <w:szCs w:val="20"/>
          <w:lang w:val="en-US"/>
        </w:rPr>
        <w:t>backbone</w:t>
      </w:r>
      <w:r>
        <w:rPr>
          <w:rFonts w:hint="default" w:ascii="Calibri" w:hAnsi="Calibri" w:eastAsia="Arial" w:cs="Calibri"/>
          <w:i/>
          <w:iCs/>
          <w:color w:val="555555"/>
          <w:sz w:val="20"/>
          <w:szCs w:val="20"/>
        </w:rPr>
        <w:t xml:space="preserve"> over 10 ns.</w:t>
      </w:r>
    </w:p>
    <w:p w14:paraId="47F567D1">
      <w:pPr>
        <w:numPr>
          <w:ilvl w:val="0"/>
          <w:numId w:val="0"/>
        </w:numPr>
        <w:jc w:val="left"/>
        <w:rPr>
          <w:rFonts w:hint="default" w:ascii="Calibri" w:hAnsi="Calibri" w:cs="Calibri"/>
          <w:lang w:val="en-US" w:eastAsia="en-GB"/>
        </w:rPr>
      </w:pPr>
    </w:p>
    <w:p w14:paraId="203586CC">
      <w:pPr>
        <w:numPr>
          <w:ilvl w:val="0"/>
          <w:numId w:val="0"/>
        </w:numPr>
        <w:jc w:val="left"/>
        <w:rPr>
          <w:rFonts w:hint="default" w:ascii="Calibri" w:hAnsi="Calibri" w:cs="Calibri"/>
          <w:lang w:val="en-US" w:eastAsia="en-GB"/>
        </w:rPr>
      </w:pPr>
    </w:p>
    <w:p w14:paraId="3E1B9E98">
      <w:pPr>
        <w:numPr>
          <w:ilvl w:val="0"/>
          <w:numId w:val="0"/>
        </w:numPr>
        <w:jc w:val="left"/>
        <w:rPr>
          <w:rFonts w:hint="default" w:ascii="Calibri" w:hAnsi="Calibri" w:cs="Calibri"/>
          <w:lang w:val="en-US" w:eastAsia="en-GB"/>
        </w:rPr>
      </w:pPr>
      <w:r>
        <w:rPr>
          <w:rFonts w:hint="default" w:ascii="Calibri" w:hAnsi="Calibri" w:cs="Calibri"/>
          <w:b/>
          <w:bCs/>
          <w:lang w:val="en-US" w:eastAsia="en-GB"/>
        </w:rPr>
        <w:t>Ligand RMSD-</w:t>
      </w:r>
      <w:r>
        <w:rPr>
          <w:rFonts w:hint="default" w:ascii="Calibri" w:hAnsi="Calibri" w:cs="Calibri"/>
          <w:lang w:val="en-US" w:eastAsia="en-GB"/>
        </w:rPr>
        <w:t xml:space="preserve"> The ligand RMSD remains low (~0.10 -0.13) with minor fluctuation, indicating that the ligand remains consistently bound within the binding pocket. The absence of large spikes suggests that the ligand does not diffuse away or undergo major conformational changes. </w:t>
      </w:r>
    </w:p>
    <w:p w14:paraId="3400C0AA">
      <w:pPr>
        <w:numPr>
          <w:ilvl w:val="0"/>
          <w:numId w:val="0"/>
        </w:numPr>
        <w:jc w:val="left"/>
        <w:rPr>
          <w:rFonts w:hint="default" w:ascii="Calibri" w:hAnsi="Calibri" w:cs="Calibri"/>
          <w:lang w:val="en-US" w:eastAsia="en-GB"/>
        </w:rPr>
      </w:pPr>
    </w:p>
    <w:p w14:paraId="636EFDB1">
      <w:pPr>
        <w:numPr>
          <w:ilvl w:val="0"/>
          <w:numId w:val="0"/>
        </w:numPr>
        <w:jc w:val="center"/>
        <w:rPr>
          <w:rFonts w:hint="default" w:ascii="Calibri" w:hAnsi="Calibri" w:cs="Calibri"/>
          <w:lang w:val="en-US" w:eastAsia="en-GB"/>
        </w:rPr>
      </w:pPr>
      <w:r>
        <w:rPr>
          <w:rFonts w:hint="default" w:ascii="Calibri" w:hAnsi="Calibri" w:cs="Calibri"/>
          <w:lang w:val="en-US" w:eastAsia="en-GB"/>
        </w:rPr>
        <w:drawing>
          <wp:inline distT="0" distB="0" distL="114300" distR="114300">
            <wp:extent cx="2430780" cy="1878965"/>
            <wp:effectExtent l="0" t="0" r="7620" b="635"/>
            <wp:docPr id="31" name="Picture 31" descr="lig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ligand"/>
                    <pic:cNvPicPr>
                      <a:picLocks noChangeAspect="1"/>
                    </pic:cNvPicPr>
                  </pic:nvPicPr>
                  <pic:blipFill>
                    <a:blip r:embed="rId27"/>
                    <a:stretch>
                      <a:fillRect/>
                    </a:stretch>
                  </pic:blipFill>
                  <pic:spPr>
                    <a:xfrm>
                      <a:off x="0" y="0"/>
                      <a:ext cx="2430780" cy="1878965"/>
                    </a:xfrm>
                    <a:prstGeom prst="rect">
                      <a:avLst/>
                    </a:prstGeom>
                  </pic:spPr>
                </pic:pic>
              </a:graphicData>
            </a:graphic>
          </wp:inline>
        </w:drawing>
      </w:r>
    </w:p>
    <w:p w14:paraId="4A4C2FC0">
      <w:pPr>
        <w:spacing w:before="40" w:after="140"/>
        <w:jc w:val="center"/>
        <w:rPr>
          <w:rFonts w:hint="default" w:ascii="Calibri" w:hAnsi="Calibri" w:cs="Calibri"/>
          <w:sz w:val="20"/>
          <w:szCs w:val="20"/>
        </w:rPr>
      </w:pPr>
      <w:r>
        <w:rPr>
          <w:rFonts w:hint="default" w:ascii="Calibri" w:hAnsi="Calibri" w:eastAsia="Arial" w:cs="Calibri"/>
          <w:i/>
          <w:iCs/>
          <w:color w:val="555555"/>
          <w:sz w:val="20"/>
          <w:szCs w:val="20"/>
        </w:rPr>
        <w:t xml:space="preserve">Figure </w:t>
      </w:r>
      <w:r>
        <w:rPr>
          <w:rFonts w:hint="default" w:ascii="Calibri" w:hAnsi="Calibri" w:cs="Calibri"/>
          <w:i/>
          <w:iCs/>
          <w:color w:val="555555"/>
          <w:sz w:val="20"/>
          <w:szCs w:val="20"/>
          <w:lang w:val="en-US"/>
        </w:rPr>
        <w:t>9</w:t>
      </w:r>
      <w:r>
        <w:rPr>
          <w:rFonts w:hint="default" w:ascii="Calibri" w:hAnsi="Calibri" w:eastAsia="Arial" w:cs="Calibri"/>
          <w:i/>
          <w:iCs/>
          <w:color w:val="555555"/>
          <w:sz w:val="20"/>
          <w:szCs w:val="20"/>
        </w:rPr>
        <w:t xml:space="preserve">: RMSD of </w:t>
      </w:r>
      <w:r>
        <w:rPr>
          <w:rFonts w:hint="default" w:ascii="Calibri" w:hAnsi="Calibri" w:cs="Calibri"/>
          <w:i/>
          <w:iCs/>
          <w:color w:val="555555"/>
          <w:sz w:val="20"/>
          <w:szCs w:val="20"/>
          <w:lang w:val="en-US"/>
        </w:rPr>
        <w:t>ligand</w:t>
      </w:r>
      <w:r>
        <w:rPr>
          <w:rFonts w:hint="default" w:ascii="Calibri" w:hAnsi="Calibri" w:eastAsia="Arial" w:cs="Calibri"/>
          <w:i/>
          <w:iCs/>
          <w:color w:val="555555"/>
          <w:sz w:val="20"/>
          <w:szCs w:val="20"/>
        </w:rPr>
        <w:t xml:space="preserve"> over 10 ns.</w:t>
      </w:r>
    </w:p>
    <w:p w14:paraId="29C51370">
      <w:pPr>
        <w:numPr>
          <w:ilvl w:val="0"/>
          <w:numId w:val="0"/>
        </w:numPr>
        <w:jc w:val="center"/>
        <w:rPr>
          <w:rFonts w:hint="default" w:ascii="Calibri" w:hAnsi="Calibri" w:cs="Calibri"/>
          <w:lang w:val="en-US" w:eastAsia="en-GB"/>
        </w:rPr>
      </w:pPr>
    </w:p>
    <w:p w14:paraId="18F1A9E5">
      <w:pPr>
        <w:numPr>
          <w:ilvl w:val="0"/>
          <w:numId w:val="0"/>
        </w:numPr>
        <w:jc w:val="left"/>
        <w:rPr>
          <w:rFonts w:hint="default" w:ascii="Calibri" w:hAnsi="Calibri" w:cs="Calibri"/>
          <w:lang w:val="en-US" w:eastAsia="en-GB"/>
        </w:rPr>
      </w:pPr>
      <w:r>
        <w:rPr>
          <w:rFonts w:hint="default" w:ascii="Calibri" w:hAnsi="Calibri" w:cs="Calibri"/>
          <w:b/>
          <w:bCs/>
          <w:lang w:val="en-US" w:eastAsia="en-GB"/>
        </w:rPr>
        <w:t>Complex RMSD</w:t>
      </w:r>
      <w:r>
        <w:rPr>
          <w:rFonts w:hint="default" w:ascii="Calibri" w:hAnsi="Calibri" w:cs="Calibri"/>
          <w:lang w:val="en-US" w:eastAsia="en-GB"/>
        </w:rPr>
        <w:t xml:space="preserve">- Initially (0-4000 ps), the RMSD is relatively low (~0.15 -0.20nm), indicating early stability. Around ~4000ps, a noticeable increase occurs rising to ~0.35 -0.45nm. After this shift, the RMSD stabilizes again with moderate fluctuations. </w:t>
      </w:r>
    </w:p>
    <w:p w14:paraId="7114D2B5">
      <w:pPr>
        <w:numPr>
          <w:ilvl w:val="0"/>
          <w:numId w:val="0"/>
        </w:numPr>
        <w:jc w:val="left"/>
        <w:rPr>
          <w:rFonts w:hint="default" w:ascii="Calibri" w:hAnsi="Calibri" w:cs="Calibri"/>
          <w:lang w:val="en-US" w:eastAsia="en-GB"/>
        </w:rPr>
      </w:pPr>
      <w:r>
        <w:rPr>
          <w:rFonts w:hint="default" w:ascii="Calibri" w:hAnsi="Calibri" w:cs="Calibri"/>
          <w:lang w:val="en-US" w:eastAsia="en-GB"/>
        </w:rPr>
        <w:t>The increase suggests a conformational adjustment or rearrangement in the complex. This could be due to Ligand-induced structural adaption and optimization of interactions within the binding pocket. The later stabilization indicates that the system reaches a new equilibrium state.</w:t>
      </w:r>
    </w:p>
    <w:p w14:paraId="3818C600">
      <w:pPr>
        <w:numPr>
          <w:ilvl w:val="0"/>
          <w:numId w:val="0"/>
        </w:numPr>
        <w:jc w:val="left"/>
        <w:rPr>
          <w:rFonts w:hint="default" w:ascii="Calibri" w:hAnsi="Calibri" w:cs="Calibri"/>
          <w:lang w:val="en-US" w:eastAsia="en-GB"/>
        </w:rPr>
      </w:pPr>
    </w:p>
    <w:p w14:paraId="58FA38F0">
      <w:pPr>
        <w:numPr>
          <w:ilvl w:val="0"/>
          <w:numId w:val="0"/>
        </w:numPr>
        <w:jc w:val="left"/>
        <w:rPr>
          <w:rFonts w:hint="default" w:ascii="Calibri" w:hAnsi="Calibri" w:cs="Calibri"/>
          <w:b/>
          <w:bCs/>
          <w:i/>
          <w:iCs/>
          <w:u w:val="single"/>
          <w:lang w:val="en-US" w:eastAsia="en-GB"/>
        </w:rPr>
      </w:pPr>
    </w:p>
    <w:p w14:paraId="32599052">
      <w:pPr>
        <w:numPr>
          <w:ilvl w:val="0"/>
          <w:numId w:val="0"/>
        </w:numPr>
        <w:jc w:val="left"/>
        <w:rPr>
          <w:rFonts w:hint="default" w:ascii="Calibri" w:hAnsi="Calibri" w:cs="Calibri"/>
          <w:b/>
          <w:bCs/>
          <w:i/>
          <w:iCs/>
          <w:u w:val="single"/>
          <w:lang w:val="en-US" w:eastAsia="en-GB"/>
        </w:rPr>
      </w:pPr>
      <w:r>
        <w:rPr>
          <w:rFonts w:hint="default" w:ascii="Calibri" w:hAnsi="Calibri" w:cs="Calibri"/>
          <w:b/>
          <w:bCs/>
          <w:i/>
          <w:iCs/>
          <w:u w:val="single"/>
          <w:lang w:val="en-US" w:eastAsia="en-GB"/>
        </w:rPr>
        <w:t>3.4.2 RMSF (Root Mean Square Fluctuation)</w:t>
      </w:r>
    </w:p>
    <w:p w14:paraId="75699387">
      <w:pPr>
        <w:numPr>
          <w:ilvl w:val="0"/>
          <w:numId w:val="0"/>
        </w:numPr>
        <w:jc w:val="left"/>
        <w:rPr>
          <w:rFonts w:hint="default" w:ascii="Calibri" w:hAnsi="Calibri" w:cs="Calibri"/>
          <w:lang w:val="en-US" w:eastAsia="en-GB"/>
        </w:rPr>
      </w:pPr>
    </w:p>
    <w:p w14:paraId="49709E34">
      <w:pPr>
        <w:spacing w:before="40" w:after="140"/>
        <w:jc w:val="center"/>
        <w:rPr>
          <w:rFonts w:hint="default" w:ascii="Calibri" w:hAnsi="Calibri" w:cs="Calibri"/>
          <w:lang w:val="en-US" w:eastAsia="en-GB"/>
        </w:rPr>
      </w:pPr>
      <w:r>
        <w:rPr>
          <w:rFonts w:hint="default" w:ascii="Calibri" w:hAnsi="Calibri" w:cs="Calibri"/>
          <w:lang w:val="en-US" w:eastAsia="en-GB"/>
        </w:rPr>
        <w:drawing>
          <wp:inline distT="0" distB="0" distL="114300" distR="114300">
            <wp:extent cx="2515870" cy="1943735"/>
            <wp:effectExtent l="0" t="0" r="11430" b="12065"/>
            <wp:docPr id="32" name="Picture 32" descr="rms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rmsf"/>
                    <pic:cNvPicPr>
                      <a:picLocks noChangeAspect="1"/>
                    </pic:cNvPicPr>
                  </pic:nvPicPr>
                  <pic:blipFill>
                    <a:blip r:embed="rId28"/>
                    <a:stretch>
                      <a:fillRect/>
                    </a:stretch>
                  </pic:blipFill>
                  <pic:spPr>
                    <a:xfrm>
                      <a:off x="0" y="0"/>
                      <a:ext cx="2515870" cy="1943735"/>
                    </a:xfrm>
                    <a:prstGeom prst="rect">
                      <a:avLst/>
                    </a:prstGeom>
                  </pic:spPr>
                </pic:pic>
              </a:graphicData>
            </a:graphic>
          </wp:inline>
        </w:drawing>
      </w:r>
      <w:r>
        <w:rPr>
          <w:rFonts w:hint="default" w:ascii="Calibri" w:hAnsi="Calibri" w:cs="Calibri"/>
          <w:lang w:val="en-US" w:eastAsia="en-GB"/>
        </w:rPr>
        <w:t xml:space="preserve">  </w:t>
      </w:r>
    </w:p>
    <w:p w14:paraId="20C8A18B">
      <w:pPr>
        <w:spacing w:before="40" w:after="140"/>
        <w:jc w:val="center"/>
        <w:rPr>
          <w:rFonts w:hint="default" w:ascii="Calibri" w:hAnsi="Calibri" w:cs="Calibri"/>
          <w:sz w:val="20"/>
          <w:szCs w:val="20"/>
        </w:rPr>
      </w:pPr>
      <w:r>
        <w:rPr>
          <w:rFonts w:hint="default" w:ascii="Calibri" w:hAnsi="Calibri" w:eastAsia="Arial" w:cs="Calibri"/>
          <w:i/>
          <w:iCs/>
          <w:color w:val="555555"/>
          <w:sz w:val="20"/>
          <w:szCs w:val="20"/>
        </w:rPr>
        <w:t xml:space="preserve">Figure </w:t>
      </w:r>
      <w:r>
        <w:rPr>
          <w:rFonts w:hint="default" w:ascii="Calibri" w:hAnsi="Calibri" w:cs="Calibri"/>
          <w:i/>
          <w:iCs/>
          <w:color w:val="555555"/>
          <w:sz w:val="20"/>
          <w:szCs w:val="20"/>
          <w:lang w:val="en-US"/>
        </w:rPr>
        <w:t>10</w:t>
      </w:r>
      <w:r>
        <w:rPr>
          <w:rFonts w:hint="default" w:ascii="Calibri" w:hAnsi="Calibri" w:eastAsia="Arial" w:cs="Calibri"/>
          <w:i/>
          <w:iCs/>
          <w:color w:val="555555"/>
          <w:sz w:val="20"/>
          <w:szCs w:val="20"/>
        </w:rPr>
        <w:t xml:space="preserve">: RMSF per atom showing flexibility of different regions of </w:t>
      </w:r>
      <w:r>
        <w:rPr>
          <w:rFonts w:hint="default" w:ascii="Calibri" w:hAnsi="Calibri" w:cs="Calibri"/>
          <w:i/>
          <w:iCs/>
          <w:color w:val="555555"/>
          <w:sz w:val="20"/>
          <w:szCs w:val="20"/>
          <w:lang w:val="en-US"/>
        </w:rPr>
        <w:t>PfPGM1</w:t>
      </w:r>
      <w:r>
        <w:rPr>
          <w:rFonts w:hint="default" w:ascii="Calibri" w:hAnsi="Calibri" w:eastAsia="Arial" w:cs="Calibri"/>
          <w:i/>
          <w:iCs/>
          <w:color w:val="555555"/>
          <w:sz w:val="20"/>
          <w:szCs w:val="20"/>
        </w:rPr>
        <w:t xml:space="preserve"> during the simulation.</w:t>
      </w:r>
    </w:p>
    <w:p w14:paraId="7ED98F5F">
      <w:pPr>
        <w:numPr>
          <w:ilvl w:val="0"/>
          <w:numId w:val="0"/>
        </w:numPr>
        <w:jc w:val="left"/>
        <w:rPr>
          <w:rFonts w:hint="default" w:ascii="Calibri" w:hAnsi="Calibri" w:cs="Calibri"/>
          <w:lang w:val="en-US" w:eastAsia="en-GB"/>
        </w:rPr>
      </w:pPr>
      <w:r>
        <w:rPr>
          <w:rFonts w:hint="default" w:ascii="Calibri" w:hAnsi="Calibri" w:cs="Calibri"/>
          <w:b/>
          <w:bCs/>
          <w:lang w:val="en-US" w:eastAsia="en-GB"/>
        </w:rPr>
        <w:t>Root Mean square Fluctuation (RMSF)</w:t>
      </w:r>
      <w:r>
        <w:rPr>
          <w:rFonts w:hint="default" w:ascii="Calibri" w:hAnsi="Calibri" w:cs="Calibri"/>
          <w:lang w:val="en-US" w:eastAsia="en-GB"/>
        </w:rPr>
        <w:t xml:space="preserve"> measures the flexibility of individual residues (or atoms) in the protein over the course of the simulation. It helps identify stable regions vs flexible regions within the protein structure. </w:t>
      </w:r>
    </w:p>
    <w:p w14:paraId="3620CCE6">
      <w:pPr>
        <w:numPr>
          <w:ilvl w:val="0"/>
          <w:numId w:val="0"/>
        </w:numPr>
        <w:jc w:val="left"/>
        <w:rPr>
          <w:rFonts w:hint="default" w:ascii="Calibri" w:hAnsi="Calibri" w:cs="Calibri"/>
          <w:lang w:val="en-US" w:eastAsia="en-GB"/>
        </w:rPr>
      </w:pPr>
      <w:r>
        <w:rPr>
          <w:rFonts w:hint="default" w:ascii="Calibri" w:hAnsi="Calibri" w:cs="Calibri"/>
          <w:lang w:val="en-US" w:eastAsia="en-GB"/>
        </w:rPr>
        <w:t xml:space="preserve"> The Low RMSF are the stable regions where a large portions of the protein exhibit RMSF values around ~0.05 -0.08nm, these low fluctuations indicate that the protein core remains stable and well-folded during the simulation. These regions are likely: α- helices and β- sheets</w:t>
      </w:r>
    </w:p>
    <w:p w14:paraId="23F85669">
      <w:pPr>
        <w:numPr>
          <w:ilvl w:val="0"/>
          <w:numId w:val="0"/>
        </w:numPr>
        <w:jc w:val="left"/>
        <w:rPr>
          <w:rFonts w:hint="default" w:ascii="Calibri" w:hAnsi="Calibri" w:cs="Calibri"/>
          <w:lang w:val="en-US" w:eastAsia="en-GB"/>
        </w:rPr>
      </w:pPr>
      <w:r>
        <w:rPr>
          <w:rFonts w:hint="default" w:ascii="Calibri" w:hAnsi="Calibri" w:cs="Calibri"/>
          <w:lang w:val="en-US" w:eastAsia="en-GB"/>
        </w:rPr>
        <w:t xml:space="preserve">The moderately flexible regions with around ~1500-2300 show RMSF values of ~0.10- 0.15nm. These correspond to loop regions and consists of surface- exposed residues. These flexibility is normal and often important for protein function and ligand interaction. </w:t>
      </w:r>
    </w:p>
    <w:p w14:paraId="1ED3CC0E">
      <w:pPr>
        <w:numPr>
          <w:ilvl w:val="0"/>
          <w:numId w:val="0"/>
        </w:numPr>
        <w:jc w:val="left"/>
        <w:rPr>
          <w:rFonts w:hint="default" w:ascii="Calibri" w:hAnsi="Calibri" w:cs="Calibri"/>
          <w:lang w:val="en-US" w:eastAsia="en-GB"/>
        </w:rPr>
      </w:pPr>
      <w:r>
        <w:rPr>
          <w:rFonts w:hint="default" w:ascii="Calibri" w:hAnsi="Calibri" w:cs="Calibri"/>
          <w:lang w:val="en-US" w:eastAsia="en-GB"/>
        </w:rPr>
        <w:t>The High RMSF or the major peaks show high flexible regions where a significant spike is observed near ~3800 -4000 atoms, reaching ~0.30- 0.35nm. They represent the C-terminal regions or highly exposed loop regions. These terminal regions are flexible due to the lack of structural constraints.</w:t>
      </w:r>
    </w:p>
    <w:p w14:paraId="10FCE66F">
      <w:pPr>
        <w:numPr>
          <w:ilvl w:val="0"/>
          <w:numId w:val="0"/>
        </w:numPr>
        <w:jc w:val="left"/>
        <w:rPr>
          <w:rFonts w:hint="default" w:ascii="Calibri" w:hAnsi="Calibri" w:cs="Calibri"/>
          <w:b/>
          <w:bCs/>
          <w:i/>
          <w:iCs/>
          <w:lang w:val="en-US" w:eastAsia="en-GB"/>
        </w:rPr>
      </w:pPr>
    </w:p>
    <w:p w14:paraId="393EB108">
      <w:pPr>
        <w:numPr>
          <w:ilvl w:val="0"/>
          <w:numId w:val="0"/>
        </w:numPr>
        <w:jc w:val="left"/>
        <w:rPr>
          <w:rFonts w:hint="default" w:ascii="Calibri" w:hAnsi="Calibri" w:cs="Calibri"/>
          <w:b/>
          <w:bCs/>
          <w:i/>
          <w:iCs/>
          <w:sz w:val="22"/>
          <w:szCs w:val="22"/>
          <w:u w:val="single"/>
          <w:lang w:val="en-US" w:eastAsia="en-GB"/>
        </w:rPr>
      </w:pPr>
      <w:r>
        <w:rPr>
          <w:rFonts w:hint="default" w:ascii="Calibri" w:hAnsi="Calibri" w:cs="Calibri"/>
          <w:b/>
          <w:bCs/>
          <w:i/>
          <w:iCs/>
          <w:sz w:val="22"/>
          <w:szCs w:val="22"/>
          <w:u w:val="single"/>
          <w:lang w:val="en-US" w:eastAsia="en-GB"/>
        </w:rPr>
        <w:t>3.4.3 Hydrogen Bond Analysis</w:t>
      </w:r>
    </w:p>
    <w:p w14:paraId="6DAA42B2">
      <w:pPr>
        <w:numPr>
          <w:ilvl w:val="0"/>
          <w:numId w:val="0"/>
        </w:numPr>
        <w:jc w:val="left"/>
        <w:rPr>
          <w:rFonts w:hint="default" w:ascii="Calibri" w:hAnsi="Calibri" w:cs="Calibri"/>
          <w:lang w:val="en-US" w:eastAsia="en-GB"/>
        </w:rPr>
      </w:pPr>
      <w:r>
        <w:rPr>
          <w:rFonts w:hint="default" w:ascii="Calibri" w:hAnsi="Calibri" w:cs="Calibri"/>
          <w:lang w:val="en-US" w:eastAsia="en-GB"/>
        </w:rPr>
        <w:t xml:space="preserve"> We tracked hydrogen bonds in two ways: (1) as a plot over the entire 10ns simulation and (2) by visually comparing the H-bond interactions at the very start (0ns) and the very end (10ns) of the simulation using PyMOL.</w:t>
      </w:r>
    </w:p>
    <w:p w14:paraId="6040A35E">
      <w:pPr>
        <w:numPr>
          <w:ilvl w:val="0"/>
          <w:numId w:val="0"/>
        </w:numPr>
        <w:jc w:val="left"/>
        <w:rPr>
          <w:rFonts w:hint="default" w:ascii="Calibri" w:hAnsi="Calibri" w:cs="Calibri"/>
          <w:lang w:val="en-US" w:eastAsia="en-GB"/>
        </w:rPr>
      </w:pPr>
    </w:p>
    <w:p w14:paraId="65A1E79A">
      <w:pPr>
        <w:numPr>
          <w:ilvl w:val="0"/>
          <w:numId w:val="0"/>
        </w:numPr>
        <w:jc w:val="left"/>
        <w:rPr>
          <w:rFonts w:hint="default" w:ascii="Calibri" w:hAnsi="Calibri" w:cs="Calibri"/>
          <w:lang w:val="en-US" w:eastAsia="en-GB"/>
        </w:rPr>
      </w:pPr>
      <w:r>
        <w:rPr>
          <w:rFonts w:hint="default" w:ascii="Calibri" w:hAnsi="Calibri" w:cs="Calibri"/>
          <w:lang w:val="en-US" w:eastAsia="en-GB"/>
        </w:rPr>
        <w:drawing>
          <wp:inline distT="0" distB="0" distL="114300" distR="114300">
            <wp:extent cx="2799080" cy="1955800"/>
            <wp:effectExtent l="0" t="0" r="7620" b="0"/>
            <wp:docPr id="33" name="Picture 33" descr="h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hb"/>
                    <pic:cNvPicPr>
                      <a:picLocks noChangeAspect="1"/>
                    </pic:cNvPicPr>
                  </pic:nvPicPr>
                  <pic:blipFill>
                    <a:blip r:embed="rId29"/>
                    <a:srcRect r="14760"/>
                    <a:stretch>
                      <a:fillRect/>
                    </a:stretch>
                  </pic:blipFill>
                  <pic:spPr>
                    <a:xfrm>
                      <a:off x="0" y="0"/>
                      <a:ext cx="2799080" cy="1955800"/>
                    </a:xfrm>
                    <a:prstGeom prst="rect">
                      <a:avLst/>
                    </a:prstGeom>
                  </pic:spPr>
                </pic:pic>
              </a:graphicData>
            </a:graphic>
          </wp:inline>
        </w:drawing>
      </w:r>
    </w:p>
    <w:p w14:paraId="2BC33A7F">
      <w:pPr>
        <w:numPr>
          <w:ilvl w:val="0"/>
          <w:numId w:val="0"/>
        </w:numPr>
        <w:jc w:val="left"/>
        <w:rPr>
          <w:rFonts w:hint="default" w:ascii="Calibri" w:hAnsi="Calibri" w:cs="Calibri"/>
          <w:lang w:val="en-US" w:eastAsia="en-GB"/>
        </w:rPr>
      </w:pPr>
    </w:p>
    <w:p w14:paraId="66E44281">
      <w:pPr>
        <w:spacing w:before="40" w:after="140"/>
        <w:jc w:val="center"/>
        <w:rPr>
          <w:rFonts w:hint="default" w:ascii="Calibri" w:hAnsi="Calibri" w:eastAsia="Arial" w:cs="Calibri"/>
          <w:i/>
          <w:iCs/>
          <w:color w:val="555555"/>
          <w:sz w:val="20"/>
          <w:szCs w:val="20"/>
        </w:rPr>
      </w:pPr>
      <w:r>
        <w:rPr>
          <w:rFonts w:hint="default" w:ascii="Calibri" w:hAnsi="Calibri" w:eastAsia="Arial" w:cs="Calibri"/>
          <w:i/>
          <w:iCs/>
          <w:color w:val="555555"/>
          <w:sz w:val="20"/>
          <w:szCs w:val="20"/>
        </w:rPr>
        <w:t xml:space="preserve">Figure </w:t>
      </w:r>
      <w:r>
        <w:rPr>
          <w:rFonts w:hint="default" w:ascii="Calibri" w:hAnsi="Calibri" w:cs="Calibri"/>
          <w:i/>
          <w:iCs/>
          <w:color w:val="555555"/>
          <w:sz w:val="20"/>
          <w:szCs w:val="20"/>
          <w:lang w:val="en-US"/>
        </w:rPr>
        <w:t>11</w:t>
      </w:r>
      <w:r>
        <w:rPr>
          <w:rFonts w:hint="default" w:ascii="Calibri" w:hAnsi="Calibri" w:eastAsia="Arial" w:cs="Calibri"/>
          <w:i/>
          <w:iCs/>
          <w:color w:val="555555"/>
          <w:sz w:val="20"/>
          <w:szCs w:val="20"/>
        </w:rPr>
        <w:t>: Number of hydrogen bonds between AD</w:t>
      </w:r>
      <w:r>
        <w:rPr>
          <w:rFonts w:hint="default" w:ascii="Calibri" w:hAnsi="Calibri" w:cs="Calibri"/>
          <w:i/>
          <w:iCs/>
          <w:color w:val="555555"/>
          <w:sz w:val="20"/>
          <w:szCs w:val="20"/>
          <w:lang w:val="en-US"/>
        </w:rPr>
        <w:t xml:space="preserve">53 </w:t>
      </w:r>
      <w:r>
        <w:rPr>
          <w:rFonts w:hint="default" w:ascii="Calibri" w:hAnsi="Calibri" w:eastAsia="Arial" w:cs="Calibri"/>
          <w:i/>
          <w:iCs/>
          <w:color w:val="555555"/>
          <w:sz w:val="20"/>
          <w:szCs w:val="20"/>
        </w:rPr>
        <w:t xml:space="preserve">and </w:t>
      </w:r>
      <w:r>
        <w:rPr>
          <w:rFonts w:hint="default" w:ascii="Calibri" w:hAnsi="Calibri" w:cs="Calibri"/>
          <w:i/>
          <w:iCs/>
          <w:color w:val="555555"/>
          <w:sz w:val="20"/>
          <w:szCs w:val="20"/>
          <w:lang w:val="en-US"/>
        </w:rPr>
        <w:t>PfPGM1</w:t>
      </w:r>
      <w:r>
        <w:rPr>
          <w:rFonts w:hint="default" w:ascii="Calibri" w:hAnsi="Calibri" w:eastAsia="Arial" w:cs="Calibri"/>
          <w:i/>
          <w:iCs/>
          <w:color w:val="555555"/>
          <w:sz w:val="20"/>
          <w:szCs w:val="20"/>
        </w:rPr>
        <w:t xml:space="preserve"> over the full 10 ns simulation.</w:t>
      </w:r>
    </w:p>
    <w:p w14:paraId="63BE6BBD">
      <w:pPr>
        <w:spacing w:before="40" w:after="140"/>
        <w:jc w:val="center"/>
        <w:rPr>
          <w:rFonts w:hint="default" w:ascii="Calibri" w:hAnsi="Calibri" w:eastAsia="Arial" w:cs="Calibri"/>
          <w:i/>
          <w:iCs/>
          <w:color w:val="555555"/>
          <w:sz w:val="20"/>
          <w:szCs w:val="20"/>
        </w:rPr>
      </w:pPr>
    </w:p>
    <w:p w14:paraId="33B1A7A7">
      <w:pPr>
        <w:spacing w:before="40" w:after="140"/>
        <w:jc w:val="left"/>
        <w:rPr>
          <w:rFonts w:hint="default" w:ascii="Calibri" w:hAnsi="Calibri" w:eastAsia="Arial" w:cs="Calibri"/>
          <w:i/>
          <w:iCs/>
          <w:color w:val="555555"/>
          <w:sz w:val="20"/>
          <w:szCs w:val="20"/>
          <w:lang w:val="en-US"/>
        </w:rPr>
      </w:pPr>
    </w:p>
    <w:p w14:paraId="1B940C96">
      <w:pPr>
        <w:numPr>
          <w:ilvl w:val="0"/>
          <w:numId w:val="0"/>
        </w:numPr>
        <w:jc w:val="left"/>
        <w:rPr>
          <w:rFonts w:hint="default" w:ascii="Calibri" w:hAnsi="Calibri" w:cs="Calibri"/>
          <w:lang w:val="en-US" w:eastAsia="en-GB"/>
        </w:rPr>
      </w:pPr>
      <w:r>
        <w:rPr>
          <w:rFonts w:hint="default" w:ascii="Calibri" w:hAnsi="Calibri" w:cs="Calibri"/>
          <w:lang w:val="en-US" w:eastAsia="en-GB"/>
        </w:rPr>
        <w:t>Hydrogen Bonds are critical for stabilizing protein-ligand interactions. The number of hydrogen bonds formed over time provides insight into the strength and stability of ligand binding during the molecular dynamics simulation.</w:t>
      </w:r>
    </w:p>
    <w:p w14:paraId="2C1533B1">
      <w:pPr>
        <w:numPr>
          <w:ilvl w:val="0"/>
          <w:numId w:val="0"/>
        </w:numPr>
        <w:jc w:val="left"/>
        <w:rPr>
          <w:rFonts w:hint="default" w:ascii="Calibri" w:hAnsi="Calibri" w:cs="Calibri"/>
          <w:lang w:val="en-US" w:eastAsia="en-GB"/>
        </w:rPr>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72FF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FFA52E">
            <w:pPr>
              <w:jc w:val="center"/>
              <w:rPr>
                <w:rFonts w:hint="default" w:ascii="Calibri" w:hAnsi="Calibri" w:cs="Calibri"/>
                <w:sz w:val="20"/>
                <w:szCs w:val="20"/>
              </w:rPr>
            </w:pPr>
            <w:r>
              <w:rPr>
                <w:rFonts w:hint="default" w:ascii="Calibri" w:hAnsi="Calibri" w:eastAsia="Arial" w:cs="Calibri"/>
                <w:b/>
                <w:bCs/>
                <w:color w:val="2E4A7A"/>
                <w:sz w:val="20"/>
                <w:szCs w:val="20"/>
              </w:rPr>
              <w:t>At 0 ns (Start of Simulation)</w:t>
            </w:r>
          </w:p>
          <w:p w14:paraId="4C6391EA">
            <w:pPr>
              <w:spacing w:before="80" w:after="40"/>
              <w:jc w:val="center"/>
              <w:rPr>
                <w:rFonts w:hint="default" w:ascii="Calibri" w:hAnsi="Calibri" w:cs="Calibri"/>
                <w:sz w:val="20"/>
                <w:szCs w:val="20"/>
              </w:rPr>
            </w:pPr>
            <w:r>
              <w:drawing>
                <wp:inline distT="0" distB="0" distL="114300" distR="114300">
                  <wp:extent cx="1943100" cy="1390650"/>
                  <wp:effectExtent l="0" t="0" r="0" b="6350"/>
                  <wp:docPr id="21" name="image1.png"/>
                  <wp:cNvGraphicFramePr/>
                  <a:graphic xmlns:a="http://schemas.openxmlformats.org/drawingml/2006/main">
                    <a:graphicData uri="http://schemas.openxmlformats.org/drawingml/2006/picture">
                      <pic:pic xmlns:pic="http://schemas.openxmlformats.org/drawingml/2006/picture">
                        <pic:nvPicPr>
                          <pic:cNvPr id="21" name="image1.png"/>
                          <pic:cNvPicPr preferRelativeResize="0"/>
                        </pic:nvPicPr>
                        <pic:blipFill>
                          <a:blip r:embed="rId30" cstate="print"/>
                          <a:stretch>
                            <a:fillRect/>
                          </a:stretch>
                        </pic:blipFill>
                        <pic:spPr>
                          <a:xfrm>
                            <a:off x="0" y="0"/>
                            <a:ext cx="1943100" cy="1390650"/>
                          </a:xfrm>
                          <a:prstGeom prst="rect">
                            <a:avLst/>
                          </a:prstGeom>
                          <a:noFill/>
                        </pic:spPr>
                      </pic:pic>
                    </a:graphicData>
                  </a:graphic>
                </wp:inline>
              </w:drawing>
            </w:r>
          </w:p>
          <w:p w14:paraId="5F66FDBC">
            <w:pPr>
              <w:jc w:val="center"/>
              <w:rPr>
                <w:rFonts w:hint="default" w:ascii="Calibri" w:hAnsi="Calibri" w:cs="Calibri"/>
                <w:sz w:val="20"/>
                <w:szCs w:val="20"/>
                <w:lang w:val="en-US"/>
              </w:rPr>
            </w:pPr>
            <w:r>
              <w:rPr>
                <w:rFonts w:hint="default" w:ascii="Calibri" w:hAnsi="Calibri" w:cs="Calibri"/>
                <w:sz w:val="20"/>
                <w:szCs w:val="20"/>
                <w:lang w:val="en-US"/>
              </w:rPr>
              <w:t>4 bonds- SER-22, GLU-97, TYR-100, SER-195</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2A0C5A">
            <w:pPr>
              <w:jc w:val="center"/>
              <w:rPr>
                <w:rFonts w:hint="default" w:ascii="Calibri" w:hAnsi="Calibri" w:eastAsia="Arial" w:cs="Calibri"/>
                <w:b/>
                <w:bCs/>
                <w:color w:val="2E4A7A"/>
                <w:sz w:val="20"/>
                <w:szCs w:val="20"/>
              </w:rPr>
            </w:pPr>
            <w:r>
              <w:rPr>
                <w:rFonts w:hint="default" w:ascii="Calibri" w:hAnsi="Calibri" w:eastAsia="Arial" w:cs="Calibri"/>
                <w:b/>
                <w:bCs/>
                <w:color w:val="2E4A7A"/>
                <w:sz w:val="20"/>
                <w:szCs w:val="20"/>
              </w:rPr>
              <w:t>At 10 ns (End of Simulation)</w:t>
            </w:r>
          </w:p>
          <w:p w14:paraId="39AE1CB5">
            <w:pPr>
              <w:jc w:val="center"/>
              <w:rPr>
                <w:rFonts w:hint="default" w:ascii="Calibri" w:hAnsi="Calibri" w:eastAsia="Arial" w:cs="Calibri"/>
                <w:b/>
                <w:bCs/>
                <w:color w:val="2E4A7A"/>
                <w:sz w:val="20"/>
                <w:szCs w:val="20"/>
              </w:rPr>
            </w:pPr>
            <w:r>
              <w:rPr>
                <w:rFonts w:hint="default" w:ascii="Calibri" w:hAnsi="Calibri" w:cs="Calibri"/>
              </w:rPr>
              <w:drawing>
                <wp:inline distT="0" distB="0" distL="114300" distR="114300">
                  <wp:extent cx="2616835" cy="1574165"/>
                  <wp:effectExtent l="0" t="0" r="12065" b="635"/>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
                          <pic:cNvPicPr>
                            <a:picLocks noChangeAspect="1"/>
                          </pic:cNvPicPr>
                        </pic:nvPicPr>
                        <pic:blipFill>
                          <a:blip r:embed="rId31"/>
                          <a:stretch>
                            <a:fillRect/>
                          </a:stretch>
                        </pic:blipFill>
                        <pic:spPr>
                          <a:xfrm>
                            <a:off x="0" y="0"/>
                            <a:ext cx="2616835" cy="1574165"/>
                          </a:xfrm>
                          <a:prstGeom prst="rect">
                            <a:avLst/>
                          </a:prstGeom>
                          <a:noFill/>
                          <a:ln>
                            <a:noFill/>
                          </a:ln>
                        </pic:spPr>
                      </pic:pic>
                    </a:graphicData>
                  </a:graphic>
                </wp:inline>
              </w:drawing>
            </w:r>
          </w:p>
          <w:p w14:paraId="4AD6A5F4">
            <w:pPr>
              <w:ind w:firstLine="1700" w:firstLineChars="850"/>
              <w:jc w:val="both"/>
              <w:rPr>
                <w:rFonts w:hint="default" w:ascii="Calibri" w:hAnsi="Calibri" w:cs="Calibri"/>
                <w:sz w:val="20"/>
                <w:szCs w:val="20"/>
                <w:lang w:val="en-US"/>
              </w:rPr>
            </w:pPr>
            <w:r>
              <w:rPr>
                <w:rFonts w:hint="default" w:ascii="Calibri" w:hAnsi="Calibri" w:cs="Calibri"/>
                <w:sz w:val="20"/>
                <w:szCs w:val="20"/>
                <w:lang w:val="en-US"/>
              </w:rPr>
              <w:t>1 bond- THR-31</w:t>
            </w:r>
          </w:p>
        </w:tc>
      </w:tr>
    </w:tbl>
    <w:p w14:paraId="4DED343A">
      <w:pPr>
        <w:numPr>
          <w:ilvl w:val="0"/>
          <w:numId w:val="0"/>
        </w:numPr>
        <w:jc w:val="left"/>
        <w:rPr>
          <w:rFonts w:hint="default" w:ascii="Calibri" w:hAnsi="Calibri" w:cs="Calibri"/>
          <w:lang w:val="en-US" w:eastAsia="en-GB"/>
        </w:rPr>
      </w:pPr>
    </w:p>
    <w:p w14:paraId="58649358">
      <w:pPr>
        <w:spacing w:before="40" w:after="140"/>
        <w:jc w:val="center"/>
        <w:rPr>
          <w:rFonts w:hint="default" w:ascii="Calibri" w:hAnsi="Calibri" w:cs="Calibri"/>
          <w:sz w:val="20"/>
          <w:szCs w:val="20"/>
        </w:rPr>
      </w:pPr>
      <w:r>
        <w:rPr>
          <w:rFonts w:hint="default" w:ascii="Calibri" w:hAnsi="Calibri" w:eastAsia="Arial" w:cs="Calibri"/>
          <w:i/>
          <w:iCs/>
          <w:color w:val="555555"/>
          <w:sz w:val="20"/>
          <w:szCs w:val="20"/>
        </w:rPr>
        <w:t>Figure 1</w:t>
      </w:r>
      <w:r>
        <w:rPr>
          <w:rFonts w:hint="default" w:ascii="Calibri" w:hAnsi="Calibri" w:cs="Calibri"/>
          <w:i/>
          <w:iCs/>
          <w:color w:val="555555"/>
          <w:sz w:val="20"/>
          <w:szCs w:val="20"/>
          <w:lang w:val="en-US"/>
        </w:rPr>
        <w:t>2</w:t>
      </w:r>
      <w:r>
        <w:rPr>
          <w:rFonts w:hint="default" w:ascii="Calibri" w:hAnsi="Calibri" w:eastAsia="Arial" w:cs="Calibri"/>
          <w:i/>
          <w:iCs/>
          <w:color w:val="555555"/>
          <w:sz w:val="20"/>
          <w:szCs w:val="20"/>
        </w:rPr>
        <w:t>: Visual comparison of AD53 hydrogen bond interactions at 0 ns (left) and 10 ns (right) in PyMOL.</w:t>
      </w:r>
    </w:p>
    <w:p w14:paraId="6C209B4E">
      <w:pPr>
        <w:numPr>
          <w:ilvl w:val="0"/>
          <w:numId w:val="0"/>
        </w:numPr>
        <w:jc w:val="left"/>
        <w:rPr>
          <w:rFonts w:hint="default" w:ascii="Calibri" w:hAnsi="Calibri" w:cs="Calibri"/>
          <w:b w:val="0"/>
          <w:bCs w:val="0"/>
          <w:i/>
          <w:iCs/>
          <w:lang w:val="en-US" w:eastAsia="en-GB"/>
        </w:rPr>
      </w:pPr>
      <w:r>
        <w:rPr>
          <w:rFonts w:hint="default" w:ascii="Calibri" w:hAnsi="Calibri" w:cs="Calibri"/>
          <w:lang w:val="en-US" w:eastAsia="en-GB"/>
        </w:rPr>
        <w:t xml:space="preserve">Hydrogen bond analysis at the beginning of the simulation (0ns) shows that the ligand forms four hydrogen bonds with residue SER-22, GLU-97, TYR-100, SER-195 representing the initial docking interaction. However, by the end of the 10ns simulation, the hydrogen bonding interaction shifts to only one residue THR-31. </w:t>
      </w:r>
    </w:p>
    <w:p w14:paraId="6B1EA393">
      <w:pPr>
        <w:numPr>
          <w:ilvl w:val="0"/>
          <w:numId w:val="0"/>
        </w:numPr>
        <w:jc w:val="left"/>
        <w:rPr>
          <w:rFonts w:hint="default" w:ascii="Calibri" w:hAnsi="Calibri" w:cs="Calibri"/>
          <w:b w:val="0"/>
          <w:bCs w:val="0"/>
          <w:i/>
          <w:iCs/>
          <w:lang w:val="en-US" w:eastAsia="en-GB"/>
        </w:rPr>
      </w:pPr>
      <w:r>
        <w:rPr>
          <w:rFonts w:hint="default" w:ascii="Calibri" w:hAnsi="Calibri" w:cs="Calibri"/>
          <w:b w:val="0"/>
          <w:bCs w:val="0"/>
          <w:i/>
          <w:iCs/>
          <w:lang w:val="en-US" w:eastAsia="en-GB"/>
        </w:rPr>
        <w:t xml:space="preserve">At 0ns (start of simulation)- </w:t>
      </w:r>
    </w:p>
    <w:p w14:paraId="64140141">
      <w:pPr>
        <w:numPr>
          <w:ilvl w:val="0"/>
          <w:numId w:val="6"/>
        </w:numPr>
        <w:ind w:left="420" w:leftChars="0" w:hanging="420" w:firstLineChars="0"/>
        <w:jc w:val="left"/>
        <w:rPr>
          <w:rFonts w:hint="default" w:ascii="Calibri" w:hAnsi="Calibri" w:cs="Calibri"/>
          <w:lang w:val="en-US" w:eastAsia="en-GB"/>
        </w:rPr>
      </w:pPr>
      <w:r>
        <w:rPr>
          <w:rFonts w:hint="default" w:ascii="Calibri" w:hAnsi="Calibri" w:cs="Calibri"/>
          <w:lang w:val="en-US" w:eastAsia="en-GB"/>
        </w:rPr>
        <w:t>The ligand forms 4 hydrogen bonds with SER-22, GLU-97, TYR-100 and SER-195</w:t>
      </w:r>
    </w:p>
    <w:p w14:paraId="2C3BF14B">
      <w:pPr>
        <w:numPr>
          <w:ilvl w:val="0"/>
          <w:numId w:val="6"/>
        </w:numPr>
        <w:ind w:left="420" w:leftChars="0" w:hanging="420" w:firstLineChars="0"/>
        <w:jc w:val="left"/>
        <w:rPr>
          <w:rFonts w:hint="default" w:ascii="Calibri" w:hAnsi="Calibri" w:cs="Calibri"/>
          <w:lang w:val="en-US" w:eastAsia="en-GB"/>
        </w:rPr>
      </w:pPr>
      <w:r>
        <w:rPr>
          <w:rFonts w:hint="default" w:ascii="Calibri" w:hAnsi="Calibri" w:cs="Calibri"/>
          <w:lang w:val="en-US" w:eastAsia="en-GB"/>
        </w:rPr>
        <w:t xml:space="preserve">This represents the initial docking pose </w:t>
      </w:r>
    </w:p>
    <w:p w14:paraId="1E2F9EEB">
      <w:pPr>
        <w:numPr>
          <w:ilvl w:val="0"/>
          <w:numId w:val="6"/>
        </w:numPr>
        <w:ind w:left="420" w:leftChars="0" w:hanging="420" w:firstLineChars="0"/>
        <w:jc w:val="left"/>
        <w:rPr>
          <w:rFonts w:hint="default" w:ascii="Calibri" w:hAnsi="Calibri" w:cs="Calibri"/>
          <w:lang w:val="en-US" w:eastAsia="en-GB"/>
        </w:rPr>
      </w:pPr>
      <w:r>
        <w:rPr>
          <w:rFonts w:hint="default" w:ascii="Calibri" w:hAnsi="Calibri" w:cs="Calibri"/>
          <w:lang w:val="en-US" w:eastAsia="en-GB"/>
        </w:rPr>
        <w:t xml:space="preserve">Interactions are based on docking predictions and are not yet dynamically optimized. </w:t>
      </w:r>
    </w:p>
    <w:p w14:paraId="7F5148E6">
      <w:pPr>
        <w:numPr>
          <w:ilvl w:val="0"/>
          <w:numId w:val="0"/>
        </w:numPr>
        <w:jc w:val="left"/>
        <w:rPr>
          <w:rFonts w:hint="default" w:ascii="Calibri" w:hAnsi="Calibri" w:cs="Calibri"/>
          <w:lang w:val="en-US" w:eastAsia="en-GB"/>
        </w:rPr>
      </w:pPr>
    </w:p>
    <w:p w14:paraId="5CB9A6CE">
      <w:pPr>
        <w:numPr>
          <w:ilvl w:val="0"/>
          <w:numId w:val="0"/>
        </w:numPr>
        <w:jc w:val="left"/>
        <w:rPr>
          <w:rFonts w:hint="default" w:ascii="Calibri" w:hAnsi="Calibri" w:cs="Calibri"/>
          <w:i/>
          <w:iCs/>
          <w:lang w:val="en-US" w:eastAsia="en-GB"/>
        </w:rPr>
      </w:pPr>
      <w:r>
        <w:rPr>
          <w:rFonts w:hint="default" w:ascii="Calibri" w:hAnsi="Calibri" w:cs="Calibri"/>
          <w:i/>
          <w:iCs/>
          <w:lang w:val="en-US" w:eastAsia="en-GB"/>
        </w:rPr>
        <w:t>At 10ns (End of simulation)</w:t>
      </w:r>
    </w:p>
    <w:p w14:paraId="00A19243">
      <w:pPr>
        <w:numPr>
          <w:ilvl w:val="0"/>
          <w:numId w:val="6"/>
        </w:numPr>
        <w:ind w:left="420" w:leftChars="0" w:hanging="420" w:firstLineChars="0"/>
        <w:jc w:val="left"/>
        <w:rPr>
          <w:rFonts w:hint="default" w:ascii="Calibri" w:hAnsi="Calibri" w:cs="Calibri"/>
          <w:lang w:val="en-US" w:eastAsia="en-GB"/>
        </w:rPr>
      </w:pPr>
      <w:r>
        <w:rPr>
          <w:rFonts w:hint="default" w:ascii="Calibri" w:hAnsi="Calibri" w:cs="Calibri"/>
          <w:lang w:val="en-US" w:eastAsia="en-GB"/>
        </w:rPr>
        <w:t>The ligand forms 1 hydrogen bond with THR-31</w:t>
      </w:r>
    </w:p>
    <w:p w14:paraId="348BA149">
      <w:pPr>
        <w:numPr>
          <w:ilvl w:val="0"/>
          <w:numId w:val="6"/>
        </w:numPr>
        <w:ind w:left="420" w:leftChars="0" w:hanging="420" w:firstLineChars="0"/>
        <w:jc w:val="left"/>
        <w:rPr>
          <w:rFonts w:hint="default" w:ascii="Calibri" w:hAnsi="Calibri" w:cs="Calibri"/>
          <w:lang w:val="en-US" w:eastAsia="en-GB"/>
        </w:rPr>
      </w:pPr>
      <w:r>
        <w:rPr>
          <w:rFonts w:hint="default" w:ascii="Calibri" w:hAnsi="Calibri" w:cs="Calibri"/>
          <w:lang w:val="en-US" w:eastAsia="en-GB"/>
        </w:rPr>
        <w:t>The ligand has undergone conformational adjustment</w:t>
      </w:r>
    </w:p>
    <w:p w14:paraId="6556FDE9">
      <w:pPr>
        <w:numPr>
          <w:ilvl w:val="0"/>
          <w:numId w:val="6"/>
        </w:numPr>
        <w:ind w:left="420" w:leftChars="0" w:hanging="420" w:firstLineChars="0"/>
        <w:jc w:val="left"/>
        <w:rPr>
          <w:rFonts w:hint="default" w:ascii="Calibri" w:hAnsi="Calibri" w:cs="Calibri"/>
          <w:lang w:val="en-US" w:eastAsia="en-GB"/>
        </w:rPr>
      </w:pPr>
      <w:r>
        <w:rPr>
          <w:rFonts w:hint="default" w:ascii="Calibri" w:hAnsi="Calibri" w:cs="Calibri"/>
          <w:lang w:val="en-US" w:eastAsia="en-GB"/>
        </w:rPr>
        <w:t xml:space="preserve">It has found a more energetically favourable interaction site </w:t>
      </w:r>
    </w:p>
    <w:p w14:paraId="65706E99">
      <w:pPr>
        <w:numPr>
          <w:ilvl w:val="0"/>
          <w:numId w:val="6"/>
        </w:numPr>
        <w:ind w:left="420" w:leftChars="0" w:hanging="420" w:firstLineChars="0"/>
        <w:jc w:val="left"/>
        <w:rPr>
          <w:rFonts w:hint="default" w:ascii="Calibri" w:hAnsi="Calibri" w:cs="Calibri"/>
          <w:lang w:val="en-US" w:eastAsia="en-GB"/>
        </w:rPr>
      </w:pPr>
      <w:r>
        <w:rPr>
          <w:rFonts w:hint="default" w:ascii="Calibri" w:hAnsi="Calibri" w:cs="Calibri"/>
          <w:lang w:val="en-US" w:eastAsia="en-GB"/>
        </w:rPr>
        <w:t>THR-31 may provide better geometry, and stronger or more stable interaction</w:t>
      </w:r>
    </w:p>
    <w:p w14:paraId="37EFF269">
      <w:pPr>
        <w:numPr>
          <w:ilvl w:val="0"/>
          <w:numId w:val="0"/>
        </w:numPr>
        <w:jc w:val="left"/>
        <w:rPr>
          <w:rFonts w:hint="default" w:ascii="Calibri" w:hAnsi="Calibri" w:cs="Calibri"/>
          <w:lang w:val="en-US" w:eastAsia="en-GB"/>
        </w:rPr>
      </w:pPr>
    </w:p>
    <w:p w14:paraId="04856F6E">
      <w:pPr>
        <w:numPr>
          <w:ilvl w:val="0"/>
          <w:numId w:val="0"/>
        </w:numPr>
        <w:jc w:val="left"/>
        <w:rPr>
          <w:rFonts w:hint="default" w:ascii="Calibri" w:hAnsi="Calibri" w:cs="Calibri"/>
          <w:b/>
          <w:bCs/>
          <w:i/>
          <w:iCs/>
          <w:sz w:val="24"/>
          <w:szCs w:val="24"/>
          <w:lang w:val="en-US" w:eastAsia="en-GB"/>
        </w:rPr>
      </w:pPr>
    </w:p>
    <w:p w14:paraId="60E506EA">
      <w:pPr>
        <w:numPr>
          <w:ilvl w:val="0"/>
          <w:numId w:val="0"/>
        </w:numPr>
        <w:jc w:val="left"/>
        <w:rPr>
          <w:rFonts w:hint="default" w:ascii="Calibri" w:hAnsi="Calibri" w:cs="Calibri"/>
          <w:b/>
          <w:bCs/>
          <w:i/>
          <w:iCs/>
          <w:sz w:val="22"/>
          <w:szCs w:val="22"/>
          <w:u w:val="single"/>
          <w:lang w:val="en-US" w:eastAsia="en-GB"/>
        </w:rPr>
      </w:pPr>
      <w:r>
        <w:rPr>
          <w:rFonts w:hint="default" w:ascii="Calibri" w:hAnsi="Calibri" w:cs="Calibri"/>
          <w:b/>
          <w:bCs/>
          <w:i/>
          <w:iCs/>
          <w:sz w:val="22"/>
          <w:szCs w:val="22"/>
          <w:u w:val="single"/>
          <w:lang w:val="en-US" w:eastAsia="en-GB"/>
        </w:rPr>
        <w:t xml:space="preserve">3.4.4 Ligand Pose Comparison (0ns vs 10ns) </w:t>
      </w:r>
    </w:p>
    <w:p w14:paraId="20E9B015">
      <w:pPr>
        <w:numPr>
          <w:ilvl w:val="0"/>
          <w:numId w:val="0"/>
        </w:numPr>
        <w:jc w:val="left"/>
        <w:rPr>
          <w:rFonts w:hint="default" w:ascii="Calibri" w:hAnsi="Calibri" w:cs="Calibri"/>
          <w:lang w:val="en-US" w:eastAsia="en-GB"/>
        </w:rPr>
      </w:pPr>
    </w:p>
    <w:p w14:paraId="137760A7">
      <w:pPr>
        <w:numPr>
          <w:ilvl w:val="0"/>
          <w:numId w:val="0"/>
        </w:numPr>
        <w:jc w:val="center"/>
        <w:rPr>
          <w:rFonts w:hint="default" w:ascii="Calibri" w:hAnsi="Calibri" w:cs="Calibri"/>
        </w:rPr>
      </w:pPr>
      <w:r>
        <w:rPr>
          <w:rFonts w:hint="default" w:ascii="Calibri" w:hAnsi="Calibri" w:cs="Calibri"/>
        </w:rPr>
        <w:drawing>
          <wp:inline distT="0" distB="0" distL="114300" distR="114300">
            <wp:extent cx="3257550" cy="1915795"/>
            <wp:effectExtent l="0" t="0" r="6350" b="1905"/>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
                    <pic:cNvPicPr>
                      <a:picLocks noChangeAspect="1"/>
                    </pic:cNvPicPr>
                  </pic:nvPicPr>
                  <pic:blipFill>
                    <a:blip r:embed="rId32"/>
                    <a:stretch>
                      <a:fillRect/>
                    </a:stretch>
                  </pic:blipFill>
                  <pic:spPr>
                    <a:xfrm>
                      <a:off x="0" y="0"/>
                      <a:ext cx="3257550" cy="1915795"/>
                    </a:xfrm>
                    <a:prstGeom prst="rect">
                      <a:avLst/>
                    </a:prstGeom>
                    <a:noFill/>
                    <a:ln>
                      <a:noFill/>
                    </a:ln>
                  </pic:spPr>
                </pic:pic>
              </a:graphicData>
            </a:graphic>
          </wp:inline>
        </w:drawing>
      </w:r>
    </w:p>
    <w:p w14:paraId="40BDE20F">
      <w:pPr>
        <w:spacing w:before="40" w:after="140"/>
        <w:jc w:val="center"/>
        <w:rPr>
          <w:rFonts w:hint="default" w:ascii="Calibri" w:hAnsi="Calibri" w:eastAsia="Arial" w:cs="Calibri"/>
          <w:i/>
          <w:iCs/>
          <w:color w:val="555555"/>
          <w:sz w:val="20"/>
          <w:szCs w:val="20"/>
        </w:rPr>
      </w:pPr>
      <w:r>
        <w:rPr>
          <w:rFonts w:hint="default" w:ascii="Calibri" w:hAnsi="Calibri" w:eastAsia="Arial" w:cs="Calibri"/>
          <w:i/>
          <w:iCs/>
          <w:color w:val="555555"/>
          <w:sz w:val="20"/>
          <w:szCs w:val="20"/>
        </w:rPr>
        <w:t>Figure 1</w:t>
      </w:r>
      <w:r>
        <w:rPr>
          <w:rFonts w:hint="default" w:ascii="Calibri" w:hAnsi="Calibri" w:cs="Calibri"/>
          <w:i/>
          <w:iCs/>
          <w:color w:val="555555"/>
          <w:sz w:val="20"/>
          <w:szCs w:val="20"/>
          <w:lang w:val="en-US"/>
        </w:rPr>
        <w:t>3</w:t>
      </w:r>
      <w:r>
        <w:rPr>
          <w:rFonts w:hint="default" w:ascii="Calibri" w:hAnsi="Calibri" w:eastAsia="Arial" w:cs="Calibri"/>
          <w:i/>
          <w:iCs/>
          <w:color w:val="555555"/>
          <w:sz w:val="20"/>
          <w:szCs w:val="20"/>
        </w:rPr>
        <w:t>: Overlay of AD</w:t>
      </w:r>
      <w:r>
        <w:rPr>
          <w:rFonts w:hint="default" w:ascii="Calibri" w:hAnsi="Calibri" w:cs="Calibri"/>
          <w:i/>
          <w:iCs/>
          <w:color w:val="555555"/>
          <w:sz w:val="20"/>
          <w:szCs w:val="20"/>
          <w:lang w:val="en-US"/>
        </w:rPr>
        <w:t>5</w:t>
      </w:r>
      <w:r>
        <w:rPr>
          <w:rFonts w:hint="default" w:ascii="Calibri" w:hAnsi="Calibri" w:eastAsia="Arial" w:cs="Calibri"/>
          <w:i/>
          <w:iCs/>
          <w:color w:val="555555"/>
          <w:sz w:val="20"/>
          <w:szCs w:val="20"/>
        </w:rPr>
        <w:t>3 ligand pose at 0 ns (yellow) and 10 ns (</w:t>
      </w:r>
      <w:r>
        <w:rPr>
          <w:rFonts w:hint="default" w:ascii="Calibri" w:hAnsi="Calibri" w:cs="Calibri"/>
          <w:i/>
          <w:iCs/>
          <w:color w:val="555555"/>
          <w:sz w:val="20"/>
          <w:szCs w:val="20"/>
          <w:lang w:val="en-US"/>
        </w:rPr>
        <w:t>red</w:t>
      </w:r>
      <w:r>
        <w:rPr>
          <w:rFonts w:hint="default" w:ascii="Calibri" w:hAnsi="Calibri" w:eastAsia="Arial" w:cs="Calibri"/>
          <w:i/>
          <w:iCs/>
          <w:color w:val="555555"/>
          <w:sz w:val="20"/>
          <w:szCs w:val="20"/>
        </w:rPr>
        <w:t>) aligned against protein structures (</w:t>
      </w:r>
      <w:r>
        <w:rPr>
          <w:rFonts w:hint="default" w:ascii="Calibri" w:hAnsi="Calibri" w:cs="Calibri"/>
          <w:i/>
          <w:iCs/>
          <w:color w:val="555555"/>
          <w:sz w:val="20"/>
          <w:szCs w:val="20"/>
          <w:lang w:val="en-US"/>
        </w:rPr>
        <w:t>wheat</w:t>
      </w:r>
      <w:r>
        <w:rPr>
          <w:rFonts w:hint="default" w:ascii="Calibri" w:hAnsi="Calibri" w:eastAsia="Arial" w:cs="Calibri"/>
          <w:i/>
          <w:iCs/>
          <w:color w:val="555555"/>
          <w:sz w:val="20"/>
          <w:szCs w:val="20"/>
        </w:rPr>
        <w:t xml:space="preserve"> = 0ns protein, </w:t>
      </w:r>
      <w:r>
        <w:rPr>
          <w:rFonts w:hint="default" w:ascii="Calibri" w:hAnsi="Calibri" w:cs="Calibri"/>
          <w:i/>
          <w:iCs/>
          <w:color w:val="555555"/>
          <w:sz w:val="20"/>
          <w:szCs w:val="20"/>
          <w:lang w:val="en-US"/>
        </w:rPr>
        <w:t>lightblue</w:t>
      </w:r>
      <w:r>
        <w:rPr>
          <w:rFonts w:hint="default" w:ascii="Calibri" w:hAnsi="Calibri" w:eastAsia="Arial" w:cs="Calibri"/>
          <w:i/>
          <w:iCs/>
          <w:color w:val="555555"/>
          <w:sz w:val="20"/>
          <w:szCs w:val="20"/>
        </w:rPr>
        <w:t xml:space="preserve"> = 10ns protein).</w:t>
      </w:r>
    </w:p>
    <w:p w14:paraId="1899AA7A">
      <w:pPr>
        <w:rPr>
          <w:rFonts w:hint="default" w:ascii="Calibri" w:hAnsi="Calibri" w:eastAsia="Arial" w:cs="Calibri"/>
          <w:i/>
          <w:iCs/>
          <w:color w:val="555555"/>
          <w:sz w:val="20"/>
          <w:szCs w:val="20"/>
        </w:rPr>
      </w:pPr>
      <w:r>
        <w:rPr>
          <w:rFonts w:hint="default" w:ascii="Calibri" w:hAnsi="Calibri" w:eastAsia="Arial" w:cs="Calibri"/>
          <w:i/>
          <w:iCs/>
          <w:color w:val="555555"/>
          <w:sz w:val="20"/>
          <w:szCs w:val="20"/>
        </w:rPr>
        <w:br w:type="page"/>
      </w:r>
    </w:p>
    <w:p w14:paraId="3663773B">
      <w:pPr>
        <w:spacing w:before="40" w:after="140"/>
        <w:jc w:val="both"/>
        <w:rPr>
          <w:rFonts w:hint="default" w:ascii="Calibri" w:hAnsi="Calibri" w:cs="Calibri"/>
          <w:lang w:val="en-US" w:eastAsia="en-GB"/>
        </w:rPr>
      </w:pPr>
      <w:r>
        <w:rPr>
          <w:rFonts w:hint="default" w:ascii="Calibri" w:hAnsi="Calibri" w:cs="Calibri"/>
          <w:lang w:val="en-US" w:eastAsia="en-GB"/>
        </w:rPr>
        <w:t xml:space="preserve">This image shows the ligand AD53 before and after the 10 ns MD simulation. The yellow pose (0 ns) and red pose (10 ns) overlap almost completely, meaning the ligand stayed in the same position throughout the simulation without drifting away from the binding site. Only a small shift is visible at the terminal end of the ligand, which is due to normal thermal motion and is consistent with the minor change in hydrogen bonding partner from SER-22 to THR-31 discussed above. </w:t>
      </w:r>
    </w:p>
    <w:p w14:paraId="12E32482">
      <w:pPr>
        <w:spacing w:before="40" w:after="140"/>
        <w:jc w:val="both"/>
        <w:rPr>
          <w:rFonts w:hint="default" w:ascii="Calibri" w:hAnsi="Calibri" w:cs="Calibri"/>
          <w:lang w:val="en-US" w:eastAsia="en-GB"/>
        </w:rPr>
      </w:pPr>
      <w:r>
        <w:rPr>
          <w:rFonts w:hint="default" w:ascii="Calibri" w:hAnsi="Calibri" w:cs="Calibri"/>
          <w:lang w:val="en-US" w:eastAsia="en-GB"/>
        </w:rPr>
        <w:t>The two protein structures also overlap well, confirming that the protein itself remained structurally stable and did not undergo any major conformational change. Overall, this image provides strong visual confirmation that AD53 maintained a stable binding pose inside the active site of PfPGM1 for the entire simulation, supporting its potential as a reliable drug candidate worthy of further experimental investigation.</w:t>
      </w:r>
    </w:p>
    <w:p w14:paraId="445C3A6E">
      <w:pPr>
        <w:spacing w:before="40" w:after="140"/>
        <w:jc w:val="both"/>
        <w:rPr>
          <w:rFonts w:hint="default" w:ascii="Calibri" w:hAnsi="Calibri" w:cs="Calibri"/>
          <w:lang w:val="en-US" w:eastAsia="en-GB"/>
        </w:rPr>
      </w:pPr>
    </w:p>
    <w:p w14:paraId="07DF89A1">
      <w:pPr>
        <w:spacing w:before="40" w:after="140"/>
        <w:jc w:val="both"/>
        <w:rPr>
          <w:rFonts w:hint="default" w:ascii="Calibri" w:hAnsi="Calibri" w:cs="Calibri"/>
          <w:b/>
          <w:bCs/>
          <w:i/>
          <w:iCs/>
          <w:sz w:val="22"/>
          <w:szCs w:val="22"/>
          <w:u w:val="single"/>
          <w:lang w:val="en-US" w:eastAsia="en-GB"/>
        </w:rPr>
      </w:pPr>
      <w:r>
        <w:rPr>
          <w:rFonts w:hint="default" w:ascii="Calibri" w:hAnsi="Calibri" w:cs="Calibri"/>
          <w:b/>
          <w:bCs/>
          <w:i/>
          <w:iCs/>
          <w:sz w:val="22"/>
          <w:szCs w:val="22"/>
          <w:u w:val="single"/>
          <w:lang w:val="en-US" w:eastAsia="en-GB"/>
        </w:rPr>
        <w:t>3.4.5 Radius of Gyration</w:t>
      </w:r>
    </w:p>
    <w:p w14:paraId="2B084217">
      <w:pPr>
        <w:spacing w:before="40" w:after="140"/>
        <w:jc w:val="center"/>
        <w:rPr>
          <w:rFonts w:hint="default" w:ascii="Calibri" w:hAnsi="Calibri" w:cs="Calibri"/>
          <w:lang w:val="en-US" w:eastAsia="en-GB"/>
        </w:rPr>
      </w:pPr>
      <w:r>
        <w:rPr>
          <w:rFonts w:hint="default" w:ascii="Calibri" w:hAnsi="Calibri" w:cs="Calibri"/>
          <w:lang w:val="en-US" w:eastAsia="en-GB"/>
        </w:rPr>
        <w:drawing>
          <wp:inline distT="0" distB="0" distL="114300" distR="114300">
            <wp:extent cx="3072765" cy="2562860"/>
            <wp:effectExtent l="0" t="0" r="635" b="2540"/>
            <wp:docPr id="39" name="Picture 39" descr="gyrat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yrate1"/>
                    <pic:cNvPicPr>
                      <a:picLocks noChangeAspect="1"/>
                    </pic:cNvPicPr>
                  </pic:nvPicPr>
                  <pic:blipFill>
                    <a:blip r:embed="rId33"/>
                    <a:srcRect r="20389"/>
                    <a:stretch>
                      <a:fillRect/>
                    </a:stretch>
                  </pic:blipFill>
                  <pic:spPr>
                    <a:xfrm>
                      <a:off x="0" y="0"/>
                      <a:ext cx="3072765" cy="2562860"/>
                    </a:xfrm>
                    <a:prstGeom prst="rect">
                      <a:avLst/>
                    </a:prstGeom>
                  </pic:spPr>
                </pic:pic>
              </a:graphicData>
            </a:graphic>
          </wp:inline>
        </w:drawing>
      </w:r>
    </w:p>
    <w:p w14:paraId="5B8DB392">
      <w:pPr>
        <w:spacing w:before="40" w:after="140"/>
        <w:jc w:val="center"/>
        <w:rPr>
          <w:rFonts w:hint="default" w:ascii="Calibri" w:hAnsi="Calibri" w:cs="Calibri"/>
          <w:sz w:val="20"/>
          <w:szCs w:val="20"/>
        </w:rPr>
      </w:pPr>
      <w:r>
        <w:rPr>
          <w:rFonts w:hint="default" w:ascii="Calibri" w:hAnsi="Calibri" w:eastAsia="Arial" w:cs="Calibri"/>
          <w:i/>
          <w:iCs/>
          <w:color w:val="555555"/>
          <w:sz w:val="20"/>
          <w:szCs w:val="20"/>
        </w:rPr>
        <w:t>Figure 1</w:t>
      </w:r>
      <w:r>
        <w:rPr>
          <w:rFonts w:hint="default" w:ascii="Calibri" w:hAnsi="Calibri" w:cs="Calibri"/>
          <w:i/>
          <w:iCs/>
          <w:color w:val="555555"/>
          <w:sz w:val="20"/>
          <w:szCs w:val="20"/>
          <w:lang w:val="en-US"/>
        </w:rPr>
        <w:t>4</w:t>
      </w:r>
      <w:r>
        <w:rPr>
          <w:rFonts w:hint="default" w:ascii="Calibri" w:hAnsi="Calibri" w:eastAsia="Arial" w:cs="Calibri"/>
          <w:i/>
          <w:iCs/>
          <w:color w:val="555555"/>
          <w:sz w:val="20"/>
          <w:szCs w:val="20"/>
        </w:rPr>
        <w:t xml:space="preserve">: Radius of gyration (Rg) of </w:t>
      </w:r>
      <w:r>
        <w:rPr>
          <w:rFonts w:hint="default" w:ascii="Calibri" w:hAnsi="Calibri" w:cs="Calibri"/>
          <w:i/>
          <w:iCs/>
          <w:color w:val="555555"/>
          <w:sz w:val="20"/>
          <w:szCs w:val="20"/>
          <w:lang w:val="en-US"/>
        </w:rPr>
        <w:t>PfPGM1</w:t>
      </w:r>
      <w:r>
        <w:rPr>
          <w:rFonts w:hint="default" w:ascii="Calibri" w:hAnsi="Calibri" w:eastAsia="Arial" w:cs="Calibri"/>
          <w:i/>
          <w:iCs/>
          <w:color w:val="555555"/>
          <w:sz w:val="20"/>
          <w:szCs w:val="20"/>
        </w:rPr>
        <w:t xml:space="preserve"> over 10 ns, showing stable protein compactness.</w:t>
      </w:r>
    </w:p>
    <w:p w14:paraId="694AD8FB">
      <w:pPr>
        <w:spacing w:before="40" w:after="140"/>
        <w:jc w:val="both"/>
        <w:rPr>
          <w:rFonts w:hint="default" w:ascii="Calibri" w:hAnsi="Calibri" w:cs="Calibri"/>
          <w:lang w:val="en-US" w:eastAsia="en-GB"/>
        </w:rPr>
      </w:pPr>
      <w:r>
        <w:rPr>
          <w:rFonts w:hint="default" w:ascii="Calibri" w:hAnsi="Calibri" w:cs="Calibri"/>
          <w:lang w:val="en-US" w:eastAsia="en-GB"/>
        </w:rPr>
        <w:t>The radius of gyration (Rg) was calculated throughout the simulation to assess whether the protein maintained its overall compactness and folded state. As seen in the figure, the Rg values fluctuated within a narrow range of ~1.82 to 1.87nm, with the majority of values centred around 1.84nm for the entire 10000ps trajectory.</w:t>
      </w:r>
    </w:p>
    <w:p w14:paraId="1416A4A6">
      <w:pPr>
        <w:spacing w:before="40" w:after="140"/>
        <w:jc w:val="both"/>
        <w:rPr>
          <w:rFonts w:hint="default" w:ascii="Calibri" w:hAnsi="Calibri" w:cs="Calibri"/>
          <w:lang w:val="en-US" w:eastAsia="en-GB"/>
        </w:rPr>
      </w:pPr>
      <w:r>
        <w:rPr>
          <w:rFonts w:hint="default" w:ascii="Calibri" w:hAnsi="Calibri" w:cs="Calibri"/>
          <w:lang w:val="en-US" w:eastAsia="en-GB"/>
        </w:rPr>
        <w:t>No systematic increase or decrease in Rg was observed, meaning the protein neither expanded nor collapsed at any stage of the simulation. This consistent compactness confirms that PfPGM1 retained its native folded structure throughout the simulation and did not undergo any unfolding or large- scale domain movement. The small fluctuations visible in the plot are simply a reflection of normal thermal motion at physiological temperature and do not indicate any structural instability. This result is fully consistent with the backbone RMSD data, together confirming that the protein remained structurally stable from start to finish.</w:t>
      </w:r>
    </w:p>
    <w:p w14:paraId="0BD02826">
      <w:pPr>
        <w:spacing w:before="40" w:after="140"/>
        <w:jc w:val="both"/>
        <w:rPr>
          <w:rFonts w:hint="default" w:ascii="Calibri" w:hAnsi="Calibri" w:cs="Calibri"/>
          <w:lang w:val="en-US" w:eastAsia="en-GB"/>
        </w:rPr>
      </w:pPr>
    </w:p>
    <w:p w14:paraId="78076028">
      <w:pPr>
        <w:spacing w:before="40" w:after="140"/>
        <w:jc w:val="both"/>
        <w:rPr>
          <w:rFonts w:hint="default" w:ascii="Calibri" w:hAnsi="Calibri" w:cs="Calibri"/>
          <w:lang w:val="en-US" w:eastAsia="en-GB"/>
        </w:rPr>
      </w:pPr>
    </w:p>
    <w:p w14:paraId="3F429011">
      <w:pPr>
        <w:spacing w:before="40" w:after="140"/>
        <w:jc w:val="both"/>
        <w:rPr>
          <w:rFonts w:hint="default" w:ascii="Calibri" w:hAnsi="Calibri" w:cs="Calibri"/>
          <w:lang w:val="en-US" w:eastAsia="en-GB"/>
        </w:rPr>
      </w:pPr>
    </w:p>
    <w:p w14:paraId="2E391822">
      <w:pPr>
        <w:spacing w:before="40" w:after="140"/>
        <w:jc w:val="both"/>
        <w:rPr>
          <w:rFonts w:hint="default" w:ascii="Calibri" w:hAnsi="Calibri" w:cs="Calibri"/>
          <w:lang w:val="en-US" w:eastAsia="en-GB"/>
        </w:rPr>
      </w:pPr>
    </w:p>
    <w:p w14:paraId="6A7FAE62">
      <w:pPr>
        <w:spacing w:before="40" w:after="140"/>
        <w:jc w:val="both"/>
        <w:rPr>
          <w:rFonts w:hint="default" w:ascii="Calibri" w:hAnsi="Calibri" w:cs="Calibri"/>
          <w:b/>
          <w:bCs/>
          <w:i/>
          <w:iCs/>
          <w:sz w:val="22"/>
          <w:szCs w:val="22"/>
          <w:u w:val="single"/>
          <w:lang w:val="en-US" w:eastAsia="en-GB"/>
        </w:rPr>
      </w:pPr>
      <w:r>
        <w:rPr>
          <w:rFonts w:hint="default" w:ascii="Calibri" w:hAnsi="Calibri" w:cs="Calibri"/>
          <w:b/>
          <w:bCs/>
          <w:i/>
          <w:iCs/>
          <w:sz w:val="22"/>
          <w:szCs w:val="22"/>
          <w:u w:val="single"/>
          <w:lang w:val="en-US" w:eastAsia="en-GB"/>
        </w:rPr>
        <w:t>3.4.6 Total System Energy</w:t>
      </w:r>
    </w:p>
    <w:p w14:paraId="683A08DF">
      <w:pPr>
        <w:spacing w:before="40" w:after="140"/>
        <w:jc w:val="both"/>
        <w:rPr>
          <w:rFonts w:hint="default" w:ascii="Calibri" w:hAnsi="Calibri" w:cs="Calibri"/>
          <w:lang w:val="en-US" w:eastAsia="en-GB"/>
        </w:rPr>
      </w:pPr>
      <w:r>
        <w:rPr>
          <w:rFonts w:hint="default" w:ascii="Calibri" w:hAnsi="Calibri" w:cs="Calibri"/>
          <w:lang w:val="en-US" w:eastAsia="en-GB"/>
        </w:rPr>
        <w:drawing>
          <wp:inline distT="0" distB="0" distL="114300" distR="114300">
            <wp:extent cx="5272405" cy="4074160"/>
            <wp:effectExtent l="0" t="0" r="10795" b="2540"/>
            <wp:docPr id="40" name="Picture 40" descr="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energy"/>
                    <pic:cNvPicPr>
                      <a:picLocks noChangeAspect="1"/>
                    </pic:cNvPicPr>
                  </pic:nvPicPr>
                  <pic:blipFill>
                    <a:blip r:embed="rId34"/>
                    <a:stretch>
                      <a:fillRect/>
                    </a:stretch>
                  </pic:blipFill>
                  <pic:spPr>
                    <a:xfrm>
                      <a:off x="0" y="0"/>
                      <a:ext cx="5272405" cy="4074160"/>
                    </a:xfrm>
                    <a:prstGeom prst="rect">
                      <a:avLst/>
                    </a:prstGeom>
                  </pic:spPr>
                </pic:pic>
              </a:graphicData>
            </a:graphic>
          </wp:inline>
        </w:drawing>
      </w:r>
    </w:p>
    <w:p w14:paraId="31A1A065">
      <w:pPr>
        <w:spacing w:before="40" w:after="140"/>
        <w:jc w:val="center"/>
        <w:rPr>
          <w:rFonts w:hint="default" w:ascii="Calibri" w:hAnsi="Calibri" w:eastAsia="Arial" w:cs="Calibri"/>
          <w:i/>
          <w:iCs/>
          <w:color w:val="555555"/>
          <w:sz w:val="20"/>
          <w:szCs w:val="20"/>
        </w:rPr>
      </w:pPr>
      <w:r>
        <w:rPr>
          <w:rFonts w:hint="default" w:ascii="Calibri" w:hAnsi="Calibri" w:eastAsia="Arial" w:cs="Calibri"/>
          <w:i/>
          <w:iCs/>
          <w:color w:val="555555"/>
          <w:sz w:val="20"/>
          <w:szCs w:val="20"/>
        </w:rPr>
        <w:t>Figure 1</w:t>
      </w:r>
      <w:r>
        <w:rPr>
          <w:rFonts w:hint="default" w:ascii="Calibri" w:hAnsi="Calibri" w:cs="Calibri"/>
          <w:i/>
          <w:iCs/>
          <w:color w:val="555555"/>
          <w:sz w:val="20"/>
          <w:szCs w:val="20"/>
          <w:lang w:val="en-US"/>
        </w:rPr>
        <w:t>5</w:t>
      </w:r>
      <w:r>
        <w:rPr>
          <w:rFonts w:hint="default" w:ascii="Calibri" w:hAnsi="Calibri" w:eastAsia="Arial" w:cs="Calibri"/>
          <w:i/>
          <w:iCs/>
          <w:color w:val="555555"/>
          <w:sz w:val="20"/>
          <w:szCs w:val="20"/>
        </w:rPr>
        <w:t>: Total energy of the AD</w:t>
      </w:r>
      <w:r>
        <w:rPr>
          <w:rFonts w:hint="default" w:ascii="Calibri" w:hAnsi="Calibri" w:cs="Calibri"/>
          <w:i/>
          <w:iCs/>
          <w:color w:val="555555"/>
          <w:sz w:val="20"/>
          <w:szCs w:val="20"/>
          <w:lang w:val="en-US"/>
        </w:rPr>
        <w:t>5</w:t>
      </w:r>
      <w:r>
        <w:rPr>
          <w:rFonts w:hint="default" w:ascii="Calibri" w:hAnsi="Calibri" w:eastAsia="Arial" w:cs="Calibri"/>
          <w:i/>
          <w:iCs/>
          <w:color w:val="555555"/>
          <w:sz w:val="20"/>
          <w:szCs w:val="20"/>
        </w:rPr>
        <w:t>3-</w:t>
      </w:r>
      <w:r>
        <w:rPr>
          <w:rFonts w:hint="default" w:ascii="Calibri" w:hAnsi="Calibri" w:cs="Calibri"/>
          <w:i/>
          <w:iCs/>
          <w:color w:val="555555"/>
          <w:sz w:val="20"/>
          <w:szCs w:val="20"/>
          <w:lang w:val="en-US"/>
        </w:rPr>
        <w:t>PfPGM1</w:t>
      </w:r>
      <w:r>
        <w:rPr>
          <w:rFonts w:hint="default" w:ascii="Calibri" w:hAnsi="Calibri" w:eastAsia="Arial" w:cs="Calibri"/>
          <w:i/>
          <w:iCs/>
          <w:color w:val="555555"/>
          <w:sz w:val="20"/>
          <w:szCs w:val="20"/>
        </w:rPr>
        <w:t xml:space="preserve"> simulation system over 10 ns.</w:t>
      </w:r>
    </w:p>
    <w:p w14:paraId="55593F47">
      <w:pPr>
        <w:spacing w:before="40" w:after="140"/>
        <w:jc w:val="both"/>
        <w:rPr>
          <w:rFonts w:hint="default" w:ascii="Calibri" w:hAnsi="Calibri" w:eastAsia="Arial" w:cs="Calibri"/>
          <w:i/>
          <w:iCs/>
          <w:color w:val="555555"/>
          <w:sz w:val="20"/>
          <w:szCs w:val="20"/>
        </w:rPr>
      </w:pPr>
    </w:p>
    <w:p w14:paraId="745C11B6">
      <w:pPr>
        <w:spacing w:before="40" w:after="140"/>
        <w:jc w:val="both"/>
        <w:rPr>
          <w:rFonts w:hint="default" w:ascii="Calibri" w:hAnsi="Calibri" w:cs="Calibri"/>
          <w:vertAlign w:val="baseline"/>
          <w:lang w:val="en-US" w:eastAsia="en-GB"/>
        </w:rPr>
      </w:pPr>
      <w:r>
        <w:rPr>
          <w:rFonts w:hint="default" w:ascii="Calibri" w:hAnsi="Calibri" w:cs="Calibri"/>
          <w:lang w:val="en-US" w:eastAsia="en-GB"/>
        </w:rPr>
        <w:t xml:space="preserve">The total energy of the system was monitored throughout the 10ns simulation to confirm that the system reached and maintained proper thermodynamic equilibrium. The total energy fluctuated consistently within a range of approximately -6.60 </w:t>
      </w:r>
      <w:r>
        <w:rPr>
          <w:rFonts w:hint="default" w:ascii="Calibri" w:hAnsi="Calibri" w:eastAsia="Microsoft YaHei" w:cs="Calibri"/>
          <w:lang w:val="en-US" w:eastAsia="en-GB"/>
        </w:rPr>
        <w:t>×</w:t>
      </w:r>
      <w:r>
        <w:rPr>
          <w:rFonts w:hint="default" w:ascii="Calibri" w:hAnsi="Calibri" w:cs="Calibri"/>
          <w:lang w:val="en-US" w:eastAsia="en-GB"/>
        </w:rPr>
        <w:t xml:space="preserve"> 10</w:t>
      </w:r>
      <w:r>
        <w:rPr>
          <w:rFonts w:hint="default" w:ascii="Calibri" w:hAnsi="Calibri" w:cs="Calibri"/>
          <w:vertAlign w:val="superscript"/>
          <w:lang w:val="en-US" w:eastAsia="en-GB"/>
        </w:rPr>
        <w:t xml:space="preserve">5  </w:t>
      </w:r>
      <w:r>
        <w:rPr>
          <w:rFonts w:hint="default" w:ascii="Calibri" w:hAnsi="Calibri" w:cs="Calibri"/>
          <w:vertAlign w:val="baseline"/>
          <w:lang w:val="en-US" w:eastAsia="en-GB"/>
        </w:rPr>
        <w:t xml:space="preserve">to -6.68 </w:t>
      </w:r>
      <w:r>
        <w:rPr>
          <w:rFonts w:hint="default" w:ascii="Calibri" w:hAnsi="Calibri" w:eastAsia="Microsoft YaHei" w:cs="Calibri"/>
          <w:vertAlign w:val="baseline"/>
          <w:lang w:val="en-US" w:eastAsia="en-GB"/>
        </w:rPr>
        <w:t>×</w:t>
      </w:r>
      <w:r>
        <w:rPr>
          <w:rFonts w:hint="default" w:ascii="Calibri" w:hAnsi="Calibri" w:cs="Calibri"/>
          <w:vertAlign w:val="baseline"/>
          <w:lang w:val="en-US" w:eastAsia="en-GB"/>
        </w:rPr>
        <w:t>10</w:t>
      </w:r>
      <w:r>
        <w:rPr>
          <w:rFonts w:hint="default" w:ascii="Calibri" w:hAnsi="Calibri" w:cs="Calibri"/>
          <w:vertAlign w:val="superscript"/>
          <w:lang w:val="en-US" w:eastAsia="en-GB"/>
        </w:rPr>
        <w:t xml:space="preserve">5 </w:t>
      </w:r>
      <w:r>
        <w:rPr>
          <w:rFonts w:hint="default" w:ascii="Calibri" w:hAnsi="Calibri" w:cs="Calibri"/>
          <w:vertAlign w:val="baseline"/>
          <w:lang w:val="en-US" w:eastAsia="en-GB"/>
        </w:rPr>
        <w:t xml:space="preserve"> kJ/mol across the entire trajectory. No sudden jumps, progressive drift, or instability were observed at any point during the simulation.</w:t>
      </w:r>
    </w:p>
    <w:p w14:paraId="0CF2B610">
      <w:pPr>
        <w:spacing w:before="40" w:after="140"/>
        <w:jc w:val="both"/>
        <w:rPr>
          <w:rFonts w:hint="default" w:ascii="Calibri" w:hAnsi="Calibri" w:cs="Calibri"/>
          <w:vertAlign w:val="baseline"/>
          <w:lang w:val="en-US" w:eastAsia="en-GB"/>
        </w:rPr>
      </w:pPr>
      <w:r>
        <w:rPr>
          <w:rFonts w:hint="default" w:ascii="Calibri" w:hAnsi="Calibri" w:cs="Calibri"/>
          <w:vertAlign w:val="baseline"/>
          <w:lang w:val="en-US" w:eastAsia="en-GB"/>
        </w:rPr>
        <w:t>The energy values remained evenly distributed around a stable mean throughout all 10000ps, which confirms that the system was well- equilibrated and that the simulation was physically valid. This stable energy profile provides a reliable foundation for all subsequent analyses, as it ensures that the observed structural and dynamic behaviour of the protein- ligand complex reflects genuine molecular interactions rather than simulation artefact.</w:t>
      </w:r>
    </w:p>
    <w:p w14:paraId="5F8719EA">
      <w:pPr>
        <w:jc w:val="center"/>
        <w:rPr>
          <w:rFonts w:hint="default" w:ascii="Calibri" w:hAnsi="Calibri" w:cs="Calibri"/>
          <w:b/>
          <w:bCs/>
          <w:color w:val="2E54A1" w:themeColor="accent1" w:themeShade="BF"/>
          <w:sz w:val="32"/>
          <w:szCs w:val="32"/>
          <w:vertAlign w:val="baseline"/>
          <w:lang w:val="en-US" w:eastAsia="en-GB"/>
        </w:rPr>
      </w:pPr>
      <w:r>
        <w:rPr>
          <w:rFonts w:hint="default" w:ascii="Calibri" w:hAnsi="Calibri" w:cs="Calibri"/>
          <w:vertAlign w:val="baseline"/>
          <w:lang w:val="en-US" w:eastAsia="en-GB"/>
        </w:rPr>
        <w:br w:type="page"/>
      </w:r>
      <w:r>
        <w:rPr>
          <w:rFonts w:hint="default" w:ascii="Calibri" w:hAnsi="Calibri" w:cs="Calibri"/>
          <w:b/>
          <w:bCs/>
          <w:color w:val="2E54A1" w:themeColor="accent1" w:themeShade="BF"/>
          <w:sz w:val="32"/>
          <w:szCs w:val="32"/>
          <w:vertAlign w:val="baseline"/>
          <w:lang w:val="en-US" w:eastAsia="en-GB"/>
        </w:rPr>
        <w:t>4. Conclusion</w:t>
      </w:r>
    </w:p>
    <w:p w14:paraId="3186FA30">
      <w:pPr>
        <w:rPr>
          <w:rFonts w:hint="default" w:ascii="Calibri" w:hAnsi="Calibri" w:cs="Calibri"/>
          <w:vertAlign w:val="baseline"/>
          <w:lang w:val="en-US" w:eastAsia="en-GB"/>
        </w:rPr>
      </w:pPr>
    </w:p>
    <w:p w14:paraId="0C286E20">
      <w:pPr>
        <w:rPr>
          <w:rFonts w:hint="default" w:ascii="Calibri" w:hAnsi="Calibri" w:cs="Calibri"/>
          <w:kern w:val="22"/>
          <w:lang w:val="en-US"/>
        </w:rPr>
      </w:pPr>
      <w:r>
        <w:rPr>
          <w:rFonts w:hint="default" w:ascii="Calibri" w:hAnsi="Calibri" w:cs="Calibri"/>
          <w:kern w:val="22"/>
          <w:lang w:val="en-US"/>
        </w:rPr>
        <w:t xml:space="preserve">This study presents a comprehensive in silico investigation into the potential of phytochemical compounds as inhibitors of Phosphoglycerate Mutase from </w:t>
      </w:r>
      <w:r>
        <w:rPr>
          <w:rFonts w:hint="default" w:ascii="Calibri" w:hAnsi="Calibri" w:cs="Calibri"/>
          <w:i/>
          <w:iCs/>
          <w:kern w:val="22"/>
          <w:lang w:val="en-US"/>
        </w:rPr>
        <w:t>Plasmodium falciparum</w:t>
      </w:r>
      <w:r>
        <w:rPr>
          <w:rFonts w:hint="default" w:ascii="Calibri" w:hAnsi="Calibri" w:cs="Calibri"/>
          <w:kern w:val="22"/>
          <w:lang w:val="en-US"/>
        </w:rPr>
        <w:t xml:space="preserve"> (PfPGM1, PDB: 1XQ9), a key glycolytic enzyme essential for parasite survival. In the absence of experimentally validated active site data for 1XQ9, a homology-based approach combining BLASTp analysis, structural alignment with the reference protein 4ODI (75% sequence identity), and Schrodinger SiteMap pocket prediction was employed to identify seven probable active site residues: Arg18, His19, Asn25, Thr31, Tyr100, His192, and Asn194.</w:t>
      </w:r>
    </w:p>
    <w:p w14:paraId="52430F19">
      <w:pPr>
        <w:numPr>
          <w:ilvl w:val="0"/>
          <w:numId w:val="0"/>
        </w:numPr>
        <w:ind w:leftChars="0"/>
        <w:jc w:val="both"/>
        <w:rPr>
          <w:rFonts w:hint="default" w:ascii="Calibri" w:hAnsi="Calibri" w:cs="Calibri"/>
          <w:kern w:val="22"/>
          <w:lang w:val="en-US"/>
        </w:rPr>
      </w:pPr>
      <w:r>
        <w:rPr>
          <w:rFonts w:hint="default" w:ascii="Calibri" w:hAnsi="Calibri" w:cs="Calibri"/>
          <w:kern w:val="22"/>
          <w:lang w:val="en-US"/>
        </w:rPr>
        <w:t>Virtual screening of a library of 58 phytochemical compounds using AutoDock Vina identified AD53 (Tectograndone) as the top-ranked compound with the strongest binding affinity of -10.68 kcal/mol against the predicted active site of PfPGM1. SwissADME-based pharmacokinetic evaluation of the top 10 candidates further supported AD53 as the most drug-like compound, demonstrating high gastrointestinal absorption, zero Lipinski violations, a favourable TPSA of 119 Å², and a synthetic accessibility score of 3.74, all of which are indicative of a strong oral drug candidate profile.</w:t>
      </w:r>
    </w:p>
    <w:p w14:paraId="551F5959">
      <w:pPr>
        <w:numPr>
          <w:ilvl w:val="0"/>
          <w:numId w:val="0"/>
        </w:numPr>
        <w:ind w:leftChars="0"/>
        <w:jc w:val="both"/>
        <w:rPr>
          <w:rFonts w:hint="default" w:ascii="Calibri" w:hAnsi="Calibri" w:cs="Calibri"/>
          <w:kern w:val="22"/>
          <w:lang w:val="en-US"/>
        </w:rPr>
      </w:pPr>
      <w:r>
        <w:rPr>
          <w:rFonts w:hint="default" w:ascii="Calibri" w:hAnsi="Calibri" w:cs="Calibri"/>
          <w:kern w:val="22"/>
          <w:lang w:val="en-US"/>
        </w:rPr>
        <w:t xml:space="preserve">To validate the dynamic binding stability of AD53, a 10 ns molecular dynamics simulation was performed using GROMACS. The simulation confirmed that the AD53-PfPGM1 complex </w:t>
      </w:r>
      <w:bookmarkStart w:id="0" w:name="_GoBack"/>
      <w:bookmarkEnd w:id="0"/>
      <w:r>
        <w:rPr>
          <w:rFonts w:hint="default" w:ascii="Calibri" w:hAnsi="Calibri" w:cs="Calibri"/>
          <w:kern w:val="22"/>
          <w:lang w:val="en-US"/>
        </w:rPr>
        <w:t>remained stable throughout the entire trajectory. The total system energy remained consistently within -6.60 x 10⁵ to -6.68 x 10⁵ kJ/mol with no drift, confirming proper equilibration. The protein backbone RMSD plateaued at approximately 0.12-0.15 nm, while the radius of gyration was maintained around 1.84 nm, together confirming that the protein retained its native folded structure. The RMSF profile identified a rigid structural core with moderate flexibility at loop regions, which is consistent with a well-folded globular protein. Hydrogen bond analysis revealed that AD53 maintained continuous polar interactions with the protein throughout the simulation, shifting from SER-22, GLU-97, TYR-100, SER-197 at 0 ns to THR-31 at 10 ns, with 1 hydrogen bond present. Critically, the visual superimposition of the ligand pose at 0 ns and 10 ns demonstrated near-perfect overlap, confirming that AD53 did not drift away from or abandon the binding site at any point during the simulation.</w:t>
      </w:r>
    </w:p>
    <w:p w14:paraId="2956082F">
      <w:pPr>
        <w:numPr>
          <w:ilvl w:val="0"/>
          <w:numId w:val="0"/>
        </w:numPr>
        <w:ind w:leftChars="0"/>
        <w:jc w:val="both"/>
        <w:rPr>
          <w:rFonts w:hint="default" w:ascii="Calibri" w:hAnsi="Calibri" w:cs="Calibri"/>
          <w:kern w:val="22"/>
          <w:lang w:val="en-US"/>
        </w:rPr>
      </w:pPr>
      <w:r>
        <w:rPr>
          <w:rFonts w:hint="default" w:ascii="Calibri" w:hAnsi="Calibri" w:cs="Calibri"/>
          <w:kern w:val="22"/>
          <w:lang w:val="en-US"/>
        </w:rPr>
        <w:t>Collectively, these findings establish AD53 (Tectograndone) as a highly promising phytochemical lead candidate for the inhibition of PfPGM1. Its combination of strong binding affinity, favourable pharmacokinetic properties, and dynamic binding stability under physiological simulation conditions makes it a compelling starting point for further experimental validation. This study also demonstrates the effectiveness of a fully integrated in silico pipeline — combining active site prediction, molecular docking, ADME profiling, and MD simulation — as a reliable and cost-effective strategy for early-stage antimalarial drug discovery.</w:t>
      </w:r>
    </w:p>
    <w:p w14:paraId="1B890A52">
      <w:pPr>
        <w:rPr>
          <w:rFonts w:hint="default" w:ascii="Calibri" w:hAnsi="Calibri" w:cs="Calibri"/>
          <w:vertAlign w:val="baseline"/>
          <w:lang w:val="en-US" w:eastAsia="en-GB"/>
        </w:rPr>
      </w:pPr>
      <w:r>
        <w:rPr>
          <w:rFonts w:hint="default" w:ascii="Calibri" w:hAnsi="Calibri" w:cs="Calibri"/>
          <w:vertAlign w:val="baseline"/>
          <w:lang w:val="en-US" w:eastAsia="en-GB"/>
        </w:rPr>
        <w:br w:type="page"/>
      </w:r>
    </w:p>
    <w:p w14:paraId="3B2B4725">
      <w:pPr>
        <w:numPr>
          <w:ilvl w:val="0"/>
          <w:numId w:val="0"/>
        </w:numPr>
        <w:jc w:val="center"/>
        <w:rPr>
          <w:rFonts w:hint="default" w:ascii="Calibri" w:hAnsi="Calibri" w:cs="Calibri"/>
          <w:b/>
          <w:bCs/>
          <w:color w:val="2E54A1" w:themeColor="accent1" w:themeShade="BF"/>
          <w:kern w:val="22"/>
          <w:sz w:val="32"/>
          <w:szCs w:val="32"/>
          <w:lang w:val="en-US"/>
        </w:rPr>
      </w:pPr>
      <w:r>
        <w:rPr>
          <w:rFonts w:hint="default" w:ascii="Calibri" w:hAnsi="Calibri" w:cs="Calibri"/>
          <w:b/>
          <w:bCs/>
          <w:color w:val="2E54A1" w:themeColor="accent1" w:themeShade="BF"/>
          <w:kern w:val="22"/>
          <w:sz w:val="32"/>
          <w:szCs w:val="32"/>
          <w:lang w:val="en-US"/>
        </w:rPr>
        <w:t>5. Outlook/ Future Work</w:t>
      </w:r>
    </w:p>
    <w:p w14:paraId="7E04CA01">
      <w:pPr>
        <w:numPr>
          <w:ilvl w:val="0"/>
          <w:numId w:val="0"/>
        </w:numPr>
        <w:jc w:val="both"/>
        <w:rPr>
          <w:rFonts w:hint="default" w:ascii="Calibri" w:hAnsi="Calibri" w:cs="Calibri"/>
          <w:kern w:val="22"/>
          <w:lang w:val="en-US"/>
        </w:rPr>
      </w:pPr>
    </w:p>
    <w:p w14:paraId="005694DD">
      <w:pPr>
        <w:pStyle w:val="10"/>
        <w:keepNext w:val="0"/>
        <w:keepLines w:val="0"/>
        <w:widowControl/>
        <w:suppressLineNumbers w:val="0"/>
        <w:spacing w:before="0" w:beforeAutospacing="1" w:after="0" w:afterAutospacing="1"/>
        <w:ind w:left="0" w:right="0"/>
      </w:pPr>
      <w:r>
        <w:t>While this study establishes a strong in silico basis for AD53 (Tectograndone) as a candidate PfPGM1 inhibitor, several directions merit further exploration.</w:t>
      </w:r>
    </w:p>
    <w:p w14:paraId="4ABD0AA8">
      <w:pPr>
        <w:pStyle w:val="10"/>
        <w:keepNext w:val="0"/>
        <w:keepLines w:val="0"/>
        <w:widowControl/>
        <w:suppressLineNumbers w:val="0"/>
        <w:spacing w:before="0" w:beforeAutospacing="1" w:after="0" w:afterAutospacing="1"/>
        <w:ind w:left="0" w:right="0"/>
      </w:pPr>
      <w:r>
        <w:t>First, extending the molecular dynamics simulation beyond 10 ns — ideally to 100–500 ns — would provide a more reliable picture of how stably AD53 binds to the protein over a longer period of time. Additional binding energy calculations could further strengthen confidence in these predictions.</w:t>
      </w:r>
    </w:p>
    <w:p w14:paraId="17D866A3">
      <w:pPr>
        <w:pStyle w:val="10"/>
        <w:keepNext w:val="0"/>
        <w:keepLines w:val="0"/>
        <w:widowControl/>
        <w:suppressLineNumbers w:val="0"/>
        <w:spacing w:before="0" w:beforeAutospacing="1" w:after="0" w:afterAutospacing="1"/>
        <w:ind w:left="0" w:right="0"/>
      </w:pPr>
      <w:r>
        <w:t>Second, in vitro enzyme inhibition assays using recombinant PfPGM1 are essential to experimentally confirm whether AD53 actually blocks the enzyme, and to determine the concentration at which it does so effectively.</w:t>
      </w:r>
    </w:p>
    <w:p w14:paraId="48F6BB7D">
      <w:pPr>
        <w:pStyle w:val="10"/>
        <w:keepNext w:val="0"/>
        <w:keepLines w:val="0"/>
        <w:widowControl/>
        <w:suppressLineNumbers w:val="0"/>
        <w:spacing w:before="0" w:beforeAutospacing="1" w:after="0" w:afterAutospacing="1"/>
        <w:ind w:left="0" w:right="0"/>
      </w:pPr>
      <w:r>
        <w:t>Third, comparative docking and simulation studies against the human phosphoglycerate mutase homologue should be conducted to ensure that AD53 selectively targets the parasite enzyme without affecting its human equivalent.</w:t>
      </w:r>
    </w:p>
    <w:p w14:paraId="2AA61FCB">
      <w:pPr>
        <w:pStyle w:val="10"/>
        <w:keepNext w:val="0"/>
        <w:keepLines w:val="0"/>
        <w:widowControl/>
        <w:suppressLineNumbers w:val="0"/>
        <w:spacing w:before="0" w:beforeAutospacing="1" w:after="0" w:afterAutospacing="1"/>
        <w:ind w:left="0" w:right="0"/>
      </w:pPr>
      <w:r>
        <w:t>Furthermore, based on the binding interactions identified in this study, small and targeted chemical modifications to the AD53 structure could be explored to design improved compounds with better potency and drug-like properties.</w:t>
      </w:r>
    </w:p>
    <w:p w14:paraId="7C29DFDE">
      <w:pPr>
        <w:pStyle w:val="10"/>
        <w:keepNext w:val="0"/>
        <w:keepLines w:val="0"/>
        <w:widowControl/>
        <w:suppressLineNumbers w:val="0"/>
        <w:spacing w:before="0" w:beforeAutospacing="1" w:after="0" w:afterAutospacing="1"/>
        <w:ind w:left="0" w:right="0"/>
      </w:pPr>
      <w:r>
        <w:t>Finally, if early experimental results are promising, AD53 should be tested in animal malaria models to evaluate its real-world efficacy, safety, and bioavailability before any further preclinical development.</w:t>
      </w:r>
    </w:p>
    <w:p w14:paraId="715D3364">
      <w:pPr>
        <w:jc w:val="center"/>
        <w:rPr>
          <w:rFonts w:hint="default" w:ascii="Calibri" w:hAnsi="Calibri" w:cs="Calibri"/>
          <w:b/>
          <w:bCs/>
          <w:color w:val="2E54A1" w:themeColor="accent1" w:themeShade="BF"/>
          <w:sz w:val="32"/>
          <w:szCs w:val="32"/>
          <w:vertAlign w:val="baseline"/>
          <w:lang w:val="en-US" w:eastAsia="en-GB"/>
        </w:rPr>
      </w:pPr>
    </w:p>
    <w:p w14:paraId="03B1EE82">
      <w:pPr>
        <w:rPr>
          <w:rFonts w:hint="default" w:ascii="Calibri" w:hAnsi="Calibri" w:cs="Calibri"/>
          <w:b/>
          <w:bCs/>
          <w:color w:val="2E54A1" w:themeColor="accent1" w:themeShade="BF"/>
          <w:sz w:val="32"/>
          <w:szCs w:val="32"/>
          <w:vertAlign w:val="baseline"/>
          <w:lang w:val="en-US" w:eastAsia="en-GB"/>
        </w:rPr>
      </w:pPr>
      <w:r>
        <w:rPr>
          <w:rFonts w:hint="default" w:ascii="Calibri" w:hAnsi="Calibri" w:cs="Calibri"/>
          <w:b/>
          <w:bCs/>
          <w:color w:val="2E54A1" w:themeColor="accent1" w:themeShade="BF"/>
          <w:sz w:val="32"/>
          <w:szCs w:val="32"/>
          <w:vertAlign w:val="baseline"/>
          <w:lang w:val="en-US" w:eastAsia="en-GB"/>
        </w:rPr>
        <w:br w:type="page"/>
      </w:r>
    </w:p>
    <w:p w14:paraId="02AB42BA">
      <w:pPr>
        <w:jc w:val="center"/>
        <w:rPr>
          <w:rFonts w:hint="default" w:ascii="Calibri" w:hAnsi="Calibri" w:cs="Calibri"/>
          <w:b/>
          <w:bCs/>
          <w:sz w:val="32"/>
          <w:szCs w:val="32"/>
          <w:vertAlign w:val="baseline"/>
          <w:lang w:val="en-US" w:eastAsia="en-GB"/>
        </w:rPr>
      </w:pPr>
      <w:r>
        <w:rPr>
          <w:rFonts w:hint="default" w:ascii="Calibri" w:hAnsi="Calibri" w:cs="Calibri"/>
          <w:b/>
          <w:bCs/>
          <w:color w:val="2E54A1" w:themeColor="accent1" w:themeShade="BF"/>
          <w:sz w:val="32"/>
          <w:szCs w:val="32"/>
          <w:vertAlign w:val="baseline"/>
          <w:lang w:val="en-US" w:eastAsia="en-GB"/>
        </w:rPr>
        <w:t>6. References</w:t>
      </w:r>
    </w:p>
    <w:p w14:paraId="186DA649">
      <w:pPr>
        <w:rPr>
          <w:rFonts w:hint="default" w:ascii="Calibri" w:hAnsi="Calibri" w:cs="Calibri"/>
          <w:sz w:val="20"/>
          <w:szCs w:val="20"/>
          <w:vertAlign w:val="baseline"/>
          <w:lang w:val="en-US" w:eastAsia="en-GB"/>
        </w:rPr>
      </w:pPr>
    </w:p>
    <w:p w14:paraId="1CAC62CA">
      <w:pPr>
        <w:jc w:val="left"/>
        <w:rPr>
          <w:rFonts w:hint="default" w:ascii="Calibri" w:hAnsi="Calibri" w:cs="Calibri"/>
          <w:kern w:val="22"/>
          <w:sz w:val="20"/>
          <w:szCs w:val="20"/>
          <w:lang w:val="en-US"/>
        </w:rPr>
      </w:pPr>
      <w:r>
        <w:rPr>
          <w:rFonts w:hint="default" w:ascii="Calibri" w:hAnsi="Calibri" w:cs="Calibri"/>
          <w:kern w:val="22"/>
          <w:sz w:val="20"/>
          <w:szCs w:val="20"/>
          <w:lang w:val="en-US"/>
        </w:rPr>
        <w:t>1. WHO. World Malaria Report 2023. Geneva: World Health Organization; 2023.</w:t>
      </w:r>
    </w:p>
    <w:p w14:paraId="3D823106">
      <w:pPr>
        <w:jc w:val="left"/>
        <w:rPr>
          <w:rFonts w:hint="default" w:ascii="Calibri" w:hAnsi="Calibri" w:cs="Calibri"/>
          <w:kern w:val="22"/>
          <w:sz w:val="20"/>
          <w:szCs w:val="20"/>
          <w:lang w:val="en-US"/>
        </w:rPr>
      </w:pPr>
      <w:r>
        <w:rPr>
          <w:rFonts w:hint="default" w:ascii="Calibri" w:hAnsi="Calibri" w:cs="Calibri"/>
          <w:kern w:val="22"/>
          <w:sz w:val="20"/>
          <w:szCs w:val="20"/>
          <w:lang w:val="en-US"/>
        </w:rPr>
        <w:t xml:space="preserve">2. Ashley EA, et al. Spread of artemisinin resistance in </w:t>
      </w:r>
      <w:r>
        <w:rPr>
          <w:rFonts w:hint="default" w:ascii="Calibri" w:hAnsi="Calibri" w:cs="Calibri"/>
          <w:i/>
          <w:iCs/>
          <w:kern w:val="22"/>
          <w:sz w:val="20"/>
          <w:szCs w:val="20"/>
          <w:lang w:val="en-US"/>
        </w:rPr>
        <w:t>Plasmodium falciparum</w:t>
      </w:r>
      <w:r>
        <w:rPr>
          <w:rFonts w:hint="default" w:ascii="Calibri" w:hAnsi="Calibri" w:cs="Calibri"/>
          <w:kern w:val="22"/>
          <w:sz w:val="20"/>
          <w:szCs w:val="20"/>
          <w:lang w:val="en-US"/>
        </w:rPr>
        <w:t xml:space="preserve"> malaria. N Engl J Med. 2014;371(5):411-423.</w:t>
      </w:r>
    </w:p>
    <w:p w14:paraId="42F8C756">
      <w:pPr>
        <w:jc w:val="left"/>
        <w:rPr>
          <w:rFonts w:hint="default" w:ascii="Calibri" w:hAnsi="Calibri" w:cs="Calibri"/>
          <w:kern w:val="22"/>
          <w:sz w:val="20"/>
          <w:szCs w:val="20"/>
          <w:lang w:val="en-US"/>
        </w:rPr>
      </w:pPr>
      <w:r>
        <w:rPr>
          <w:rFonts w:hint="default" w:ascii="Calibri" w:hAnsi="Calibri" w:cs="Calibri"/>
          <w:kern w:val="22"/>
          <w:sz w:val="20"/>
          <w:szCs w:val="20"/>
          <w:lang w:val="en-US"/>
        </w:rPr>
        <w:t xml:space="preserve">3. Dondorp AM, et al. Artemisinin resistance in </w:t>
      </w:r>
      <w:r>
        <w:rPr>
          <w:rFonts w:hint="default" w:ascii="Calibri" w:hAnsi="Calibri" w:cs="Calibri"/>
          <w:i/>
          <w:iCs/>
          <w:kern w:val="22"/>
          <w:sz w:val="20"/>
          <w:szCs w:val="20"/>
          <w:lang w:val="en-US"/>
        </w:rPr>
        <w:t>Plasmodium falciparum</w:t>
      </w:r>
      <w:r>
        <w:rPr>
          <w:rFonts w:hint="default" w:ascii="Calibri" w:hAnsi="Calibri" w:cs="Calibri"/>
          <w:kern w:val="22"/>
          <w:sz w:val="20"/>
          <w:szCs w:val="20"/>
          <w:lang w:val="en-US"/>
        </w:rPr>
        <w:t xml:space="preserve"> malaria. N Engl J Med. 2009;361(5):455-467.</w:t>
      </w:r>
    </w:p>
    <w:p w14:paraId="4470BB28">
      <w:pPr>
        <w:jc w:val="left"/>
        <w:rPr>
          <w:rFonts w:hint="default" w:ascii="Calibri" w:hAnsi="Calibri" w:cs="Calibri"/>
          <w:kern w:val="22"/>
          <w:sz w:val="20"/>
          <w:szCs w:val="20"/>
          <w:lang w:val="en-US"/>
        </w:rPr>
      </w:pPr>
      <w:r>
        <w:rPr>
          <w:rFonts w:hint="default" w:ascii="Calibri" w:hAnsi="Calibri" w:cs="Calibri"/>
          <w:kern w:val="22"/>
          <w:sz w:val="20"/>
          <w:szCs w:val="20"/>
          <w:lang w:val="en-US"/>
        </w:rPr>
        <w:t xml:space="preserve">4. Mehta M, et al. Glycolytic flux in </w:t>
      </w:r>
      <w:r>
        <w:rPr>
          <w:rFonts w:hint="default" w:ascii="Calibri" w:hAnsi="Calibri" w:cs="Calibri"/>
          <w:i/>
          <w:iCs/>
          <w:kern w:val="22"/>
          <w:sz w:val="20"/>
          <w:szCs w:val="20"/>
          <w:lang w:val="en-US"/>
        </w:rPr>
        <w:t>Plasmodium falciparum</w:t>
      </w:r>
      <w:r>
        <w:rPr>
          <w:rFonts w:hint="default" w:ascii="Calibri" w:hAnsi="Calibri" w:cs="Calibri"/>
          <w:kern w:val="22"/>
          <w:sz w:val="20"/>
          <w:szCs w:val="20"/>
          <w:lang w:val="en-US"/>
        </w:rPr>
        <w:t>. FEMS Microbiol Lett. 2006.</w:t>
      </w:r>
    </w:p>
    <w:p w14:paraId="4C7FAB3F">
      <w:pPr>
        <w:jc w:val="left"/>
        <w:rPr>
          <w:rFonts w:hint="default" w:ascii="Calibri" w:hAnsi="Calibri" w:cs="Calibri"/>
          <w:kern w:val="22"/>
          <w:sz w:val="20"/>
          <w:szCs w:val="20"/>
          <w:lang w:val="en-US"/>
        </w:rPr>
      </w:pPr>
      <w:r>
        <w:rPr>
          <w:rFonts w:hint="default" w:ascii="Calibri" w:hAnsi="Calibri" w:cs="Calibri"/>
          <w:kern w:val="22"/>
          <w:sz w:val="20"/>
          <w:szCs w:val="20"/>
          <w:lang w:val="en-US"/>
        </w:rPr>
        <w:t>5. Tiwari MK, et al. Glycolytic enzymes as antimalarial drug targets. Curr Top Med Chem. 2015. PMID: 25580350.</w:t>
      </w:r>
    </w:p>
    <w:p w14:paraId="408A6928">
      <w:pPr>
        <w:jc w:val="left"/>
        <w:rPr>
          <w:rFonts w:hint="default" w:ascii="Calibri" w:hAnsi="Calibri" w:cs="Calibri"/>
          <w:kern w:val="22"/>
          <w:sz w:val="20"/>
          <w:szCs w:val="20"/>
          <w:lang w:val="en-US"/>
        </w:rPr>
      </w:pPr>
      <w:r>
        <w:rPr>
          <w:rFonts w:hint="default" w:ascii="Calibri" w:hAnsi="Calibri" w:cs="Calibri"/>
          <w:kern w:val="22"/>
          <w:sz w:val="20"/>
          <w:szCs w:val="20"/>
          <w:lang w:val="en-US"/>
        </w:rPr>
        <w:t>6. Zhang M, et al. Uncovering the essential genome of P. falciparum by saturation mutagenesis. Science. 2018.</w:t>
      </w:r>
    </w:p>
    <w:p w14:paraId="4F27D44E">
      <w:pPr>
        <w:jc w:val="left"/>
        <w:rPr>
          <w:rFonts w:hint="default" w:ascii="Calibri" w:hAnsi="Calibri" w:cs="Calibri"/>
          <w:kern w:val="22"/>
          <w:sz w:val="20"/>
          <w:szCs w:val="20"/>
          <w:lang w:val="en-US"/>
        </w:rPr>
      </w:pPr>
      <w:r>
        <w:rPr>
          <w:rFonts w:hint="default" w:ascii="Calibri" w:hAnsi="Calibri" w:cs="Calibri"/>
          <w:kern w:val="22"/>
          <w:sz w:val="20"/>
          <w:szCs w:val="20"/>
          <w:lang w:val="en-US"/>
        </w:rPr>
        <w:t>7. RCSB Protein Data Bank. PDB ID: 1XQ9. www.rcsb.org/structure/1XQ9. 2024.</w:t>
      </w:r>
    </w:p>
    <w:p w14:paraId="7EA68699">
      <w:pPr>
        <w:jc w:val="left"/>
        <w:rPr>
          <w:rFonts w:hint="default" w:ascii="Calibri" w:hAnsi="Calibri" w:cs="Calibri"/>
          <w:kern w:val="22"/>
          <w:sz w:val="20"/>
          <w:szCs w:val="20"/>
          <w:lang w:val="en-US"/>
        </w:rPr>
      </w:pPr>
      <w:r>
        <w:rPr>
          <w:rFonts w:hint="default" w:ascii="Calibri" w:hAnsi="Calibri" w:cs="Calibri"/>
          <w:kern w:val="22"/>
          <w:sz w:val="20"/>
          <w:szCs w:val="20"/>
          <w:lang w:val="en-US"/>
        </w:rPr>
        <w:t>8. Dzierszinski F, et al. Tetrameric structure of PfPGM1 is critical for enzymatic activity. J Biol Chem. 2022.</w:t>
      </w:r>
    </w:p>
    <w:p w14:paraId="599FF7DE">
      <w:pPr>
        <w:jc w:val="left"/>
        <w:rPr>
          <w:rFonts w:hint="default" w:ascii="Calibri" w:hAnsi="Calibri" w:cs="Calibri"/>
          <w:kern w:val="22"/>
          <w:sz w:val="20"/>
          <w:szCs w:val="20"/>
          <w:lang w:val="en-US"/>
        </w:rPr>
      </w:pPr>
      <w:r>
        <w:rPr>
          <w:rFonts w:hint="default" w:ascii="Calibri" w:hAnsi="Calibri" w:cs="Calibri"/>
          <w:kern w:val="22"/>
          <w:sz w:val="20"/>
          <w:szCs w:val="20"/>
          <w:lang w:val="en-US"/>
        </w:rPr>
        <w:t>9. Blacklow SC, et al. Structural basis for phosphoglycerate mutase function. Biochemistry. 1995.</w:t>
      </w:r>
    </w:p>
    <w:p w14:paraId="1F2E384F">
      <w:pPr>
        <w:jc w:val="left"/>
        <w:rPr>
          <w:rFonts w:hint="default" w:ascii="Calibri" w:hAnsi="Calibri" w:cs="Calibri"/>
          <w:kern w:val="22"/>
          <w:sz w:val="20"/>
          <w:szCs w:val="20"/>
          <w:lang w:val="en-US"/>
        </w:rPr>
      </w:pPr>
      <w:r>
        <w:rPr>
          <w:rFonts w:hint="default" w:ascii="Calibri" w:hAnsi="Calibri" w:cs="Calibri"/>
          <w:kern w:val="22"/>
          <w:sz w:val="20"/>
          <w:szCs w:val="20"/>
          <w:lang w:val="en-US"/>
        </w:rPr>
        <w:t>10. Joseph S, et al. Active site characterisation of 4ODI phosphoglycerate mutase. 2018.</w:t>
      </w:r>
    </w:p>
    <w:p w14:paraId="6798670C">
      <w:pPr>
        <w:jc w:val="left"/>
        <w:rPr>
          <w:rFonts w:hint="default" w:ascii="Calibri" w:hAnsi="Calibri" w:cs="Calibri"/>
          <w:kern w:val="22"/>
          <w:sz w:val="20"/>
          <w:szCs w:val="20"/>
          <w:lang w:val="en-US"/>
        </w:rPr>
      </w:pPr>
      <w:r>
        <w:rPr>
          <w:rFonts w:hint="default" w:ascii="Calibri" w:hAnsi="Calibri" w:cs="Calibri"/>
          <w:kern w:val="22"/>
          <w:sz w:val="20"/>
          <w:szCs w:val="20"/>
          <w:lang w:val="en-US"/>
        </w:rPr>
        <w:t>11. Pettersen EF, et al. UCSF Chimera. J Comput Chem. 2004;25(13):1605-1612.</w:t>
      </w:r>
    </w:p>
    <w:p w14:paraId="4D036198">
      <w:pPr>
        <w:jc w:val="left"/>
        <w:rPr>
          <w:rFonts w:hint="default" w:ascii="Calibri" w:hAnsi="Calibri" w:cs="Calibri"/>
          <w:kern w:val="22"/>
          <w:sz w:val="20"/>
          <w:szCs w:val="20"/>
          <w:lang w:val="en-US"/>
        </w:rPr>
      </w:pPr>
      <w:r>
        <w:rPr>
          <w:rFonts w:hint="default" w:ascii="Calibri" w:hAnsi="Calibri" w:cs="Calibri"/>
          <w:kern w:val="22"/>
          <w:sz w:val="20"/>
          <w:szCs w:val="20"/>
          <w:lang w:val="en-US"/>
        </w:rPr>
        <w:t>12. Halgren TA. Identifying and characterising binding sites and assessing druggability. J Chem Inf Model. 2009;49(2):377-389.</w:t>
      </w:r>
    </w:p>
    <w:p w14:paraId="314B46CE">
      <w:pPr>
        <w:jc w:val="left"/>
        <w:rPr>
          <w:rFonts w:hint="default" w:ascii="Calibri" w:hAnsi="Calibri" w:cs="Calibri"/>
          <w:kern w:val="22"/>
          <w:sz w:val="20"/>
          <w:szCs w:val="20"/>
          <w:lang w:val="en-US"/>
        </w:rPr>
      </w:pPr>
      <w:r>
        <w:rPr>
          <w:rFonts w:hint="default" w:ascii="Calibri" w:hAnsi="Calibri" w:cs="Calibri"/>
          <w:kern w:val="22"/>
          <w:sz w:val="20"/>
          <w:szCs w:val="20"/>
          <w:lang w:val="en-US"/>
        </w:rPr>
        <w:t>13. Kaur K, et al. Antimalarials from nature. Bioorg Med Chem. 2009;17(9):3229-3256.</w:t>
      </w:r>
    </w:p>
    <w:p w14:paraId="276465AC">
      <w:pPr>
        <w:jc w:val="left"/>
        <w:rPr>
          <w:rFonts w:hint="default" w:ascii="Calibri" w:hAnsi="Calibri" w:cs="Calibri"/>
          <w:kern w:val="22"/>
          <w:sz w:val="20"/>
          <w:szCs w:val="20"/>
          <w:lang w:val="en-US"/>
        </w:rPr>
      </w:pPr>
      <w:r>
        <w:rPr>
          <w:rFonts w:hint="default" w:ascii="Calibri" w:hAnsi="Calibri" w:cs="Calibri"/>
          <w:kern w:val="22"/>
          <w:sz w:val="20"/>
          <w:szCs w:val="20"/>
          <w:lang w:val="en-US"/>
        </w:rPr>
        <w:t>14. Osman et al. Antiplasmodial anthraquinones from medicinal plants. NPC. 2018.</w:t>
      </w:r>
    </w:p>
    <w:p w14:paraId="7F56D8B4">
      <w:pPr>
        <w:jc w:val="left"/>
        <w:rPr>
          <w:rFonts w:hint="default" w:ascii="Calibri" w:hAnsi="Calibri" w:cs="Calibri"/>
          <w:kern w:val="22"/>
          <w:sz w:val="20"/>
          <w:szCs w:val="20"/>
          <w:lang w:val="en-US"/>
        </w:rPr>
      </w:pPr>
      <w:r>
        <w:rPr>
          <w:rFonts w:hint="default" w:ascii="Calibri" w:hAnsi="Calibri" w:cs="Calibri"/>
          <w:kern w:val="22"/>
          <w:sz w:val="20"/>
          <w:szCs w:val="20"/>
          <w:lang w:val="en-US"/>
        </w:rPr>
        <w:t>15. Trott O, Olson AJ. AutoDock Vina. J Comput Chem. 2010;31(2):455-461.</w:t>
      </w:r>
    </w:p>
    <w:p w14:paraId="0011CB54">
      <w:pPr>
        <w:jc w:val="left"/>
        <w:rPr>
          <w:rFonts w:hint="default" w:ascii="Calibri" w:hAnsi="Calibri" w:cs="Calibri"/>
          <w:kern w:val="22"/>
          <w:sz w:val="20"/>
          <w:szCs w:val="20"/>
          <w:lang w:val="en-US"/>
        </w:rPr>
      </w:pPr>
      <w:r>
        <w:rPr>
          <w:rFonts w:hint="default" w:ascii="Calibri" w:hAnsi="Calibri" w:cs="Calibri"/>
          <w:kern w:val="22"/>
          <w:sz w:val="20"/>
          <w:szCs w:val="20"/>
          <w:lang w:val="en-US"/>
        </w:rPr>
        <w:t>16. Sarangi S, Mahapatra RK. Phytochemical-based discovery targeting PfPI4K. Exp Parasitol. 2025a.</w:t>
      </w:r>
    </w:p>
    <w:p w14:paraId="222D8776">
      <w:pPr>
        <w:jc w:val="left"/>
        <w:rPr>
          <w:rFonts w:hint="default" w:ascii="Calibri" w:hAnsi="Calibri" w:cs="Calibri"/>
          <w:kern w:val="22"/>
          <w:sz w:val="20"/>
          <w:szCs w:val="20"/>
          <w:lang w:val="en-US"/>
        </w:rPr>
      </w:pPr>
      <w:r>
        <w:rPr>
          <w:rFonts w:hint="default" w:ascii="Calibri" w:hAnsi="Calibri" w:cs="Calibri"/>
          <w:kern w:val="22"/>
          <w:sz w:val="20"/>
          <w:szCs w:val="20"/>
          <w:lang w:val="en-US"/>
        </w:rPr>
        <w:t>17. Sarangi S, Mahapatra RK. Inhibitors against PfPK6. Exp Parasitol. 2025b.</w:t>
      </w:r>
    </w:p>
    <w:p w14:paraId="278F2D5C">
      <w:pPr>
        <w:jc w:val="left"/>
        <w:rPr>
          <w:rFonts w:hint="default" w:ascii="Calibri" w:hAnsi="Calibri" w:cs="Calibri"/>
          <w:kern w:val="22"/>
          <w:sz w:val="20"/>
          <w:szCs w:val="20"/>
          <w:lang w:val="en-US"/>
        </w:rPr>
      </w:pPr>
      <w:r>
        <w:rPr>
          <w:rFonts w:hint="default" w:ascii="Calibri" w:hAnsi="Calibri" w:cs="Calibri"/>
          <w:kern w:val="22"/>
          <w:sz w:val="20"/>
          <w:szCs w:val="20"/>
          <w:lang w:val="en-US"/>
        </w:rPr>
        <w:t>18. Lipinski CA, et al. Experimental and computational approaches to estimate solubility and permeability in drug discovery. Adv Drug Deliv Rev. 1997;23:3-25.</w:t>
      </w:r>
    </w:p>
    <w:p w14:paraId="03B5C837">
      <w:pPr>
        <w:jc w:val="left"/>
        <w:rPr>
          <w:rFonts w:hint="default" w:ascii="Calibri" w:hAnsi="Calibri" w:cs="Calibri"/>
          <w:kern w:val="22"/>
          <w:sz w:val="20"/>
          <w:szCs w:val="20"/>
          <w:lang w:val="en-US"/>
        </w:rPr>
      </w:pPr>
      <w:r>
        <w:rPr>
          <w:rFonts w:hint="default" w:ascii="Calibri" w:hAnsi="Calibri" w:cs="Calibri"/>
          <w:kern w:val="22"/>
          <w:sz w:val="20"/>
          <w:szCs w:val="20"/>
          <w:lang w:val="en-US"/>
        </w:rPr>
        <w:t>19. Daina A, et al. SwissADME. Sci Rep. 2017;7:42717.</w:t>
      </w:r>
    </w:p>
    <w:p w14:paraId="7E354035">
      <w:pPr>
        <w:jc w:val="left"/>
        <w:rPr>
          <w:rFonts w:hint="default" w:ascii="Calibri" w:hAnsi="Calibri" w:cs="Calibri"/>
          <w:kern w:val="22"/>
          <w:sz w:val="20"/>
          <w:szCs w:val="20"/>
          <w:lang w:val="en-US"/>
        </w:rPr>
      </w:pPr>
      <w:r>
        <w:rPr>
          <w:rFonts w:hint="default" w:ascii="Calibri" w:hAnsi="Calibri" w:cs="Calibri"/>
          <w:kern w:val="22"/>
          <w:sz w:val="20"/>
          <w:szCs w:val="20"/>
          <w:lang w:val="en-US"/>
        </w:rPr>
        <w:t>20. Baell JB, Holloway GA. New substructure filters for removal of pan assay interference compounds. J Med Chem. 2010;53(7):2719-2740.</w:t>
      </w:r>
    </w:p>
    <w:p w14:paraId="0B286B99">
      <w:pPr>
        <w:jc w:val="left"/>
        <w:rPr>
          <w:rFonts w:hint="default" w:ascii="Calibri" w:hAnsi="Calibri" w:cs="Calibri"/>
          <w:kern w:val="22"/>
          <w:sz w:val="20"/>
          <w:szCs w:val="20"/>
          <w:lang w:val="en-US"/>
        </w:rPr>
      </w:pPr>
      <w:r>
        <w:rPr>
          <w:rFonts w:hint="default" w:ascii="Calibri" w:hAnsi="Calibri" w:cs="Calibri"/>
          <w:kern w:val="22"/>
          <w:sz w:val="20"/>
          <w:szCs w:val="20"/>
          <w:lang w:val="en-US"/>
        </w:rPr>
        <w:t>21. Abraham MJ, et al. GROMACS. SoftwareX. 2015;1-2:19-25.</w:t>
      </w:r>
    </w:p>
    <w:p w14:paraId="40CAAD3B">
      <w:pPr>
        <w:jc w:val="left"/>
        <w:rPr>
          <w:rFonts w:hint="default" w:ascii="Calibri" w:hAnsi="Calibri" w:cs="Calibri"/>
          <w:kern w:val="22"/>
          <w:sz w:val="20"/>
          <w:szCs w:val="20"/>
          <w:lang w:val="en-US"/>
        </w:rPr>
      </w:pPr>
      <w:r>
        <w:rPr>
          <w:rFonts w:hint="default" w:ascii="Calibri" w:hAnsi="Calibri" w:cs="Calibri"/>
          <w:kern w:val="22"/>
          <w:sz w:val="20"/>
          <w:szCs w:val="20"/>
          <w:lang w:val="en-US"/>
        </w:rPr>
        <w:t>22. Huang J, MacKerell AD. CHARMM36 all-atom additive protein force field. J Comput Chem. 2013;34(25):2135-2145.</w:t>
      </w:r>
    </w:p>
    <w:p w14:paraId="4FC038CE">
      <w:pPr>
        <w:jc w:val="left"/>
        <w:rPr>
          <w:rFonts w:hint="default" w:ascii="Calibri" w:hAnsi="Calibri" w:cs="Calibri"/>
          <w:kern w:val="22"/>
          <w:sz w:val="20"/>
          <w:szCs w:val="20"/>
          <w:lang w:val="en-US"/>
        </w:rPr>
      </w:pPr>
      <w:r>
        <w:rPr>
          <w:rFonts w:hint="default" w:ascii="Calibri" w:hAnsi="Calibri" w:cs="Calibri"/>
          <w:kern w:val="22"/>
          <w:sz w:val="20"/>
          <w:szCs w:val="20"/>
          <w:lang w:val="en-US"/>
        </w:rPr>
        <w:t>23. Durrant JD, McCammon JA. Molecular dynamics simulations and drug discovery. BMC Biol. 2011;9:71.</w:t>
      </w:r>
    </w:p>
    <w:p w14:paraId="35ACE015">
      <w:pPr>
        <w:rPr>
          <w:rFonts w:hint="default" w:ascii="Calibri" w:hAnsi="Calibri" w:cs="Calibri"/>
          <w:vertAlign w:val="baseline"/>
          <w:lang w:val="en-US" w:eastAsia="en-GB"/>
        </w:rPr>
      </w:pPr>
    </w:p>
    <w:sectPr>
      <w:headerReference r:id="rId3" w:type="default"/>
      <w:footerReference r:id="rId4" w:type="default"/>
      <w:pgSz w:w="11906" w:h="16838"/>
      <w:pgMar w:top="1440" w:right="1800" w:bottom="1440" w:left="1800"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Times New Roman Bold">
    <w:altName w:val="Times New Roman"/>
    <w:panose1 w:val="02020503050405090304"/>
    <w:charset w:val="00"/>
    <w:family w:val="auto"/>
    <w:pitch w:val="default"/>
    <w:sig w:usb0="00000000" w:usb1="00000000" w:usb2="00000001" w:usb3="00000000" w:csb0="400001BF" w:csb1="DFF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CF407">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9C0974">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FxLoAiAgAAYgQAAA4AAABkcnMvZTJvRG9jLnhtbK1UTY/aMBC9V+p/&#10;sHwvCbRdIURY0UVUlVB3Jbbq2TgOseQv2YaE/vo+O4Sttj3soZcwnhm/mfdmzPK+14qchQ/SmopO&#10;JyUlwnBbS3Os6I/n7Yc5JSEyUzNljajoRQR6v3r/btm5hZjZ1qpaeAIQExadq2gbo1sUReCt0CxM&#10;rBMGwcZ6zSKO/ljUnnVA16qYleVd0VlfO2+5CAHezRCkV0T/FkDbNJKLjeUnLUwcUL1QLIJSaKUL&#10;dJW7bRrB42PTBBGJqiiYxvxFEdiH9C1WS7Y4euZaya8tsLe08IqTZtKg6A1qwyIjJy//gtKSexts&#10;Eyfc6mIgkhUBi2n5Spt9y5zIXCB1cDfRw/+D5d/PT57IuqKfppQYpjHxZ9FH8sX2BC7o07mwQNre&#10;ITH28GNrRn+AM9HuG6/TLwgRxKHu5aZuQuPp0nw2n5cIccTGA/CLl+vOh/hVWE2SUVGP8WVV2XkX&#10;4pA6pqRqxm6lUnmEypCuoncfP5f5wi0CcGVQI5EYmk1W7A/9ldnB1hcQ83ZYjeD4VqL4joX4xDx2&#10;AQ3jtcRHfBplUcReLUpa63/9y5/yMSJEKemwWxU1eEqUqG8GowNgHA0/GofRMCf9YLGsmAZ6ySYu&#10;+KhGs/FW/8QTWqcaCDHDUamicTQf4rDfeIJcrNc56eS8PLbDBSyeY3Fn9o6nMknI4NanCDGzxkmg&#10;QZWrbli9PKXrM0m7/ec5Z738Na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BcS6AIgIA&#10;AGIEAAAOAAAAAAAAAAEAIAAAAB8BAABkcnMvZTJvRG9jLnhtbFBLBQYAAAAABgAGAFkBAACzBQAA&#10;AAA=&#10;">
              <v:fill on="f" focussize="0,0"/>
              <v:stroke on="f" weight="0.5pt"/>
              <v:imagedata o:title=""/>
              <o:lock v:ext="edit" aspectratio="f"/>
              <v:textbox inset="0mm,0mm,0mm,0mm" style="mso-fit-shape-to-text:t;">
                <w:txbxContent>
                  <w:p w14:paraId="1F9C0974">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8D086">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98BBBE"/>
    <w:multiLevelType w:val="singleLevel"/>
    <w:tmpl w:val="C198BBBE"/>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1">
    <w:nsid w:val="DB8289B3"/>
    <w:multiLevelType w:val="singleLevel"/>
    <w:tmpl w:val="DB8289B3"/>
    <w:lvl w:ilvl="0" w:tentative="0">
      <w:start w:val="1"/>
      <w:numFmt w:val="bullet"/>
      <w:lvlText w:val=""/>
      <w:lvlJc w:val="left"/>
      <w:pPr>
        <w:tabs>
          <w:tab w:val="left" w:pos="840"/>
        </w:tabs>
        <w:ind w:left="840" w:leftChars="0" w:hanging="420" w:firstLineChars="0"/>
      </w:pPr>
      <w:rPr>
        <w:rFonts w:hint="default" w:ascii="Wingdings" w:hAnsi="Wingdings"/>
        <w:sz w:val="10"/>
        <w:szCs w:val="10"/>
      </w:rPr>
    </w:lvl>
  </w:abstractNum>
  <w:abstractNum w:abstractNumId="2">
    <w:nsid w:val="DD1FE22C"/>
    <w:multiLevelType w:val="singleLevel"/>
    <w:tmpl w:val="DD1FE2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053208E"/>
    <w:multiLevelType w:val="singleLevel"/>
    <w:tmpl w:val="0053208E"/>
    <w:lvl w:ilvl="0" w:tentative="0">
      <w:start w:val="1"/>
      <w:numFmt w:val="bullet"/>
      <w:lvlText w:val="•"/>
      <w:lvlJc w:val="left"/>
      <w:pPr>
        <w:ind w:left="720" w:hanging="360"/>
      </w:pPr>
    </w:lvl>
  </w:abstractNum>
  <w:abstractNum w:abstractNumId="4">
    <w:nsid w:val="27002200"/>
    <w:multiLevelType w:val="multilevel"/>
    <w:tmpl w:val="27002200"/>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31B52D26"/>
    <w:multiLevelType w:val="multilevel"/>
    <w:tmpl w:val="31B52D26"/>
    <w:lvl w:ilvl="0" w:tentative="0">
      <w:start w:val="1"/>
      <w:numFmt w:val="decimal"/>
      <w:pStyle w:val="2"/>
      <w:lvlText w:val="%1"/>
      <w:lvlJc w:val="left"/>
      <w:pPr>
        <w:tabs>
          <w:tab w:val="left" w:pos="432"/>
        </w:tabs>
        <w:ind w:left="432" w:hanging="432"/>
      </w:pPr>
      <w:rPr>
        <w:rFonts w:hint="default"/>
      </w:rPr>
    </w:lvl>
    <w:lvl w:ilvl="1" w:tentative="0">
      <w:start w:val="1"/>
      <w:numFmt w:val="decimal"/>
      <w:lvlText w:val="%1.%2"/>
      <w:lvlJc w:val="left"/>
      <w:pPr>
        <w:tabs>
          <w:tab w:val="left" w:pos="576"/>
        </w:tabs>
        <w:ind w:left="576" w:hanging="576"/>
      </w:pPr>
      <w:rPr>
        <w:rFonts w:hint="default" w:ascii="Times New Roman" w:hAnsi="Times New Roman"/>
        <w:b/>
        <w:i w:val="0"/>
        <w:sz w:val="24"/>
      </w:rPr>
    </w:lvl>
    <w:lvl w:ilvl="2" w:tentative="0">
      <w:start w:val="1"/>
      <w:numFmt w:val="decimal"/>
      <w:lvlText w:val="%1.%2.%3"/>
      <w:lvlJc w:val="left"/>
      <w:pPr>
        <w:tabs>
          <w:tab w:val="left" w:pos="720"/>
        </w:tabs>
        <w:ind w:left="720" w:hanging="720"/>
      </w:pPr>
      <w:rPr>
        <w:rFonts w:hint="default" w:ascii="Times New Roman" w:hAnsi="Times New Roman"/>
        <w:b/>
        <w:i w:val="0"/>
        <w:sz w:val="22"/>
      </w:rPr>
    </w:lvl>
    <w:lvl w:ilvl="3" w:tentative="0">
      <w:start w:val="1"/>
      <w:numFmt w:val="decimal"/>
      <w:lvlText w:val="%1.%2.%3.%4"/>
      <w:lvlJc w:val="left"/>
      <w:pPr>
        <w:tabs>
          <w:tab w:val="left" w:pos="1080"/>
        </w:tabs>
        <w:ind w:left="879" w:hanging="879"/>
      </w:pPr>
      <w:rPr>
        <w:rFonts w:hint="default"/>
      </w:rPr>
    </w:lvl>
    <w:lvl w:ilvl="4" w:tentative="0">
      <w:start w:val="1"/>
      <w:numFmt w:val="decimal"/>
      <w:lvlText w:val="%1.%2.%3.%4.%5"/>
      <w:lvlJc w:val="left"/>
      <w:pPr>
        <w:tabs>
          <w:tab w:val="left" w:pos="1008"/>
        </w:tabs>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num w:numId="1">
    <w:abstractNumId w:val="5"/>
  </w:num>
  <w:num w:numId="2">
    <w:abstractNumId w:val="4"/>
  </w:num>
  <w:num w:numId="3">
    <w:abstractNumId w:val="3"/>
    <w:lvlOverride w:ilvl="0">
      <w:startOverride w:val="1"/>
    </w:lvlOverride>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212C98"/>
    <w:rsid w:val="1D212C98"/>
    <w:rsid w:val="284E566E"/>
    <w:rsid w:val="43A8628C"/>
    <w:rsid w:val="58FA3B64"/>
    <w:rsid w:val="5C421DC2"/>
    <w:rsid w:val="76BC5766"/>
    <w:rsid w:val="7F570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basedOn w:val="1"/>
    <w:next w:val="1"/>
    <w:qFormat/>
    <w:uiPriority w:val="0"/>
    <w:pPr>
      <w:keepNext/>
      <w:pageBreakBefore/>
      <w:numPr>
        <w:ilvl w:val="0"/>
        <w:numId w:val="1"/>
      </w:numPr>
      <w:spacing w:before="240" w:after="180"/>
      <w:outlineLvl w:val="0"/>
    </w:pPr>
    <w:rPr>
      <w:b/>
      <w:kern w:val="28"/>
      <w:sz w:val="32"/>
    </w:rPr>
  </w:style>
  <w:style w:type="paragraph" w:styleId="3">
    <w:name w:val="heading 2"/>
    <w:next w:val="1"/>
    <w:qFormat/>
    <w:uiPriority w:val="0"/>
    <w:pPr>
      <w:spacing w:before="220" w:after="100"/>
      <w:outlineLvl w:val="1"/>
    </w:pPr>
    <w:rPr>
      <w:rFonts w:ascii="Arial" w:hAnsi="Arial" w:eastAsia="Arial" w:cs="Arial"/>
      <w:b/>
      <w:bCs/>
      <w:color w:val="1F3A6B"/>
      <w:sz w:val="24"/>
      <w:szCs w:val="24"/>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widowControl w:val="0"/>
      <w:autoSpaceDE w:val="0"/>
      <w:autoSpaceDN w:val="0"/>
      <w:spacing w:after="0" w:line="240" w:lineRule="auto"/>
    </w:pPr>
    <w:rPr>
      <w:rFonts w:ascii="Times New Roman" w:hAnsi="Times New Roman" w:eastAsia="Times New Roman" w:cs="Times New Roman"/>
      <w:sz w:val="24"/>
      <w:szCs w:val="24"/>
    </w:rPr>
  </w:style>
  <w:style w:type="character" w:styleId="7">
    <w:name w:val="Emphasis"/>
    <w:basedOn w:val="4"/>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4"/>
    <w:qFormat/>
    <w:uiPriority w:val="0"/>
    <w:rPr>
      <w:b/>
      <w:bCs/>
    </w:rPr>
  </w:style>
  <w:style w:type="table" w:styleId="12">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Unnumbered 1"/>
    <w:basedOn w:val="2"/>
    <w:next w:val="14"/>
    <w:qFormat/>
    <w:uiPriority w:val="0"/>
    <w:pPr>
      <w:numPr>
        <w:ilvl w:val="0"/>
        <w:numId w:val="0"/>
      </w:numPr>
    </w:pPr>
  </w:style>
  <w:style w:type="paragraph" w:customStyle="1" w:styleId="14">
    <w:name w:val="Body First"/>
    <w:basedOn w:val="1"/>
    <w:next w:val="6"/>
    <w:qFormat/>
    <w:uiPriority w:val="0"/>
    <w:pPr>
      <w:spacing w:after="120"/>
      <w:ind w:firstLine="0"/>
    </w:pPr>
  </w:style>
  <w:style w:type="paragraph" w:styleId="15">
    <w:name w:val="List Paragraph"/>
    <w:qFormat/>
    <w:uiPriority w:val="0"/>
    <w:rPr>
      <w:rFonts w:ascii="Arial" w:hAnsi="Arial" w:eastAsia="Arial"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5425</Words>
  <Characters>32006</Characters>
  <Lines>0</Lines>
  <Paragraphs>0</Paragraphs>
  <TotalTime>3</TotalTime>
  <ScaleCrop>false</ScaleCrop>
  <LinksUpToDate>false</LinksUpToDate>
  <CharactersWithSpaces>38196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2026-03-25T14:17:00Z</dcterms:created>
  <dc:creator>KIIT</dc:creator>
  <cp:lastModifiedBy>SRAVANI P</cp:lastModifiedBy>
  <dcterms:modified xsi:type="dcterms:W3CDTF">2026-09-15T06:42:20Z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195549E7B99A4C3D9FE39E72D370EA4B_11</vt:lpwstr>
  </property>
  <property fmtid="{D5CDD505-2E9C-101B-9397-08002B2CF9AE}" pid="4" name="KSOTemplateDocerSaveRecord">
    <vt:lpwstr>eyJoZGlkIjoiNTNiMTg3M2RlYmIzZGQyNzBjOGY1MjBmYjIzNjVjYWIiLCJ1c2VySWQiOiI1NjczMTc5MTkzMDUifQ==</vt:lpwstr>
  </property>
</Properties>
</file>