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69B34" w14:textId="77777777" w:rsidR="00381144" w:rsidRPr="00381144" w:rsidRDefault="00381144" w:rsidP="00381144">
      <w:pPr>
        <w:rPr>
          <w:b/>
          <w:bCs/>
        </w:rPr>
      </w:pPr>
      <w:r w:rsidRPr="00381144">
        <w:rPr>
          <w:b/>
          <w:bCs/>
        </w:rPr>
        <w:t>4 Surprising Truths About Multi-Region Cloud Architecture</w:t>
      </w:r>
    </w:p>
    <w:p w14:paraId="3DCCE4AB" w14:textId="77777777" w:rsidR="00381144" w:rsidRPr="00381144" w:rsidRDefault="00381144" w:rsidP="00381144">
      <w:pPr>
        <w:rPr>
          <w:b/>
          <w:bCs/>
        </w:rPr>
      </w:pPr>
      <w:r w:rsidRPr="00381144">
        <w:rPr>
          <w:b/>
          <w:bCs/>
        </w:rPr>
        <w:t>Introduction: The Myth of the Magic Bullet</w:t>
      </w:r>
    </w:p>
    <w:p w14:paraId="786D5899" w14:textId="77777777" w:rsidR="00381144" w:rsidRPr="00381144" w:rsidRDefault="00381144" w:rsidP="00381144">
      <w:r w:rsidRPr="00381144">
        <w:t>The pursuit of 100% uptime is a common goal for any modern business. In boardrooms and architecture reviews, a multi-region cloud strategy is often presented as the ultimate solution—a technical magic bullet for achieving perfect resilience. The assumption is that by running an application across multiple geographic regions, you create an invincible system that can withstand any failure.</w:t>
      </w:r>
    </w:p>
    <w:p w14:paraId="15ECD5AD" w14:textId="77777777" w:rsidR="00381144" w:rsidRPr="00381144" w:rsidRDefault="00381144" w:rsidP="00381144">
      <w:r w:rsidRPr="00381144">
        <w:t>However, the reality of implementing a multi-region architecture is far more complex, costly, and filled with counter-intuitive trade-offs. In a deep-dive session, AWS Principal Solutions Architect John Fermento and Vanguard’s Chief Architect Barry Shuard peeled back the layers on this topic, revealing truths that challenge conventional wisdom. It's not a simple switch to flip but a profound business and engineering commitment.</w:t>
      </w:r>
    </w:p>
    <w:p w14:paraId="39CE1D7F" w14:textId="77777777" w:rsidR="00381144" w:rsidRPr="00381144" w:rsidRDefault="00381144" w:rsidP="00381144">
      <w:r w:rsidRPr="00381144">
        <w:t>This article distills the four most impactful and surprising lessons from that session. These truths are essential for any leader, architect, or engineer considering a multi-region strategy, helping to separate the hype from the operational reality.</w:t>
      </w:r>
    </w:p>
    <w:p w14:paraId="334E6E33" w14:textId="77777777" w:rsidR="00381144" w:rsidRPr="00381144" w:rsidRDefault="00381144" w:rsidP="00381144">
      <w:r w:rsidRPr="00381144">
        <w:t xml:space="preserve">-------------------------------------------------------------------------------- </w:t>
      </w:r>
    </w:p>
    <w:p w14:paraId="62E664EE" w14:textId="77777777" w:rsidR="00381144" w:rsidRPr="00381144" w:rsidRDefault="00381144" w:rsidP="00381144">
      <w:pPr>
        <w:rPr>
          <w:b/>
          <w:bCs/>
        </w:rPr>
      </w:pPr>
      <w:r w:rsidRPr="00381144">
        <w:rPr>
          <w:b/>
          <w:bCs/>
        </w:rPr>
        <w:t>1. It's a Business Decision, Not a Tech Mandate</w:t>
      </w:r>
    </w:p>
    <w:p w14:paraId="3BBAE676" w14:textId="77777777" w:rsidR="00381144" w:rsidRPr="00381144" w:rsidRDefault="00381144" w:rsidP="00381144">
      <w:r w:rsidRPr="00381144">
        <w:t>The first and most critical step in a multi-region journey isn't technical; it's about achieving deep alignment with the business. According to the experts, the idea that every application in an enterprise needs to be multi-region is a myth. The real work begins by asking "why" and "for which workloads?"</w:t>
      </w:r>
    </w:p>
    <w:p w14:paraId="0C281B35" w14:textId="77777777" w:rsidR="00381144" w:rsidRPr="00381144" w:rsidRDefault="00381144" w:rsidP="00381144">
      <w:r w:rsidRPr="00381144">
        <w:t xml:space="preserve">To answer this, organizations should use a tiering strategy to create a framework for this alignment. This involves defining clear, business-centric criteria to determine if an application is a </w:t>
      </w:r>
      <w:r w:rsidRPr="00381144">
        <w:rPr>
          <w:b/>
          <w:bCs/>
        </w:rPr>
        <w:t>"platinum or tier zero"</w:t>
      </w:r>
      <w:r w:rsidRPr="00381144">
        <w:t xml:space="preserve"> workload—one so critical it warrants the immense cost and complexity of a multi-region setup. Specific criteria might include evaluating "how much revenue loss is impacted by five minutes of downtime" or the risk of "irreversible like brand damage."</w:t>
      </w:r>
    </w:p>
    <w:p w14:paraId="79A867AA" w14:textId="77777777" w:rsidR="00381144" w:rsidRPr="00381144" w:rsidRDefault="00381144" w:rsidP="00381144">
      <w:r w:rsidRPr="00381144">
        <w:t>This process forces a crucial conversation between IT and business leaders. It moves the discussion from a purely technical solution to a value-based decision, weighing the tangible benefits against the significant investment in engineering effort, operational overhead, and infrastructure cost. As John Fermento stated, this perspective is essential.</w:t>
      </w:r>
    </w:p>
    <w:p w14:paraId="4C9DD36D" w14:textId="77777777" w:rsidR="00381144" w:rsidRPr="00381144" w:rsidRDefault="00381144" w:rsidP="00381144">
      <w:r w:rsidRPr="00381144">
        <w:t>"I will say categorically I have not come across an Enterprise at every single application needs to be multi-region."</w:t>
      </w:r>
    </w:p>
    <w:p w14:paraId="5DC4E160" w14:textId="77777777" w:rsidR="00381144" w:rsidRPr="00381144" w:rsidRDefault="00381144" w:rsidP="00381144">
      <w:r w:rsidRPr="00381144">
        <w:lastRenderedPageBreak/>
        <w:t xml:space="preserve">-------------------------------------------------------------------------------- </w:t>
      </w:r>
    </w:p>
    <w:p w14:paraId="6507057A" w14:textId="77777777" w:rsidR="00381144" w:rsidRPr="00381144" w:rsidRDefault="00381144" w:rsidP="00381144">
      <w:pPr>
        <w:rPr>
          <w:b/>
          <w:bCs/>
        </w:rPr>
      </w:pPr>
      <w:r w:rsidRPr="00381144">
        <w:rPr>
          <w:b/>
          <w:bCs/>
        </w:rPr>
        <w:t>2. Perfect Data Consistency Can Be Your Worst Enemy</w:t>
      </w:r>
    </w:p>
    <w:p w14:paraId="5969FED9" w14:textId="77777777" w:rsidR="00381144" w:rsidRPr="00381144" w:rsidRDefault="00381144" w:rsidP="00381144">
      <w:r w:rsidRPr="00381144">
        <w:t>Data is "the most challenging part when it comes to multi-region." The core challenge lies in a fundamental trade-off between how you replicate data: asynchronously or synchronously.</w:t>
      </w:r>
    </w:p>
    <w:p w14:paraId="5262A964" w14:textId="77777777" w:rsidR="00381144" w:rsidRPr="00381144" w:rsidRDefault="00381144" w:rsidP="00381144">
      <w:pPr>
        <w:numPr>
          <w:ilvl w:val="0"/>
          <w:numId w:val="1"/>
        </w:numPr>
      </w:pPr>
      <w:r w:rsidRPr="00381144">
        <w:rPr>
          <w:b/>
          <w:bCs/>
        </w:rPr>
        <w:t>Asynchronous replication</w:t>
      </w:r>
      <w:r w:rsidRPr="00381144">
        <w:t xml:space="preserve"> is fast and decoupled. A user's transaction is committed in the primary region, and they receive a quick confirmation. The data is then replicated to the standby region independently. The risk here is that during a failover, any in-flight data that hasn't finished replicating might not be available in the standby region until the primary comes back online.</w:t>
      </w:r>
    </w:p>
    <w:p w14:paraId="2E094403" w14:textId="77777777" w:rsidR="00381144" w:rsidRPr="00381144" w:rsidRDefault="00381144" w:rsidP="00381144">
      <w:pPr>
        <w:numPr>
          <w:ilvl w:val="0"/>
          <w:numId w:val="1"/>
        </w:numPr>
      </w:pPr>
      <w:r w:rsidRPr="00381144">
        <w:rPr>
          <w:b/>
          <w:bCs/>
        </w:rPr>
        <w:t>Synchronous replication</w:t>
      </w:r>
      <w:r w:rsidRPr="00381144">
        <w:t xml:space="preserve"> guarantees data is written and committed in multiple regions </w:t>
      </w:r>
      <w:r w:rsidRPr="00381144">
        <w:rPr>
          <w:i/>
          <w:iCs/>
        </w:rPr>
        <w:t>before</w:t>
      </w:r>
      <w:r w:rsidRPr="00381144">
        <w:t xml:space="preserve"> confirming the transaction to the user. This ensures perfect data consistency between regions.</w:t>
      </w:r>
    </w:p>
    <w:p w14:paraId="3482E309" w14:textId="77777777" w:rsidR="00381144" w:rsidRPr="00381144" w:rsidRDefault="00381144" w:rsidP="00381144">
      <w:r w:rsidRPr="00381144">
        <w:t xml:space="preserve">Here lies the counter-intuitive insight: striving for perfect consistency with synchronous replication can introduce the very failure you're trying to prevent. This method adds </w:t>
      </w:r>
      <w:r w:rsidRPr="00381144">
        <w:rPr>
          <w:b/>
          <w:bCs/>
        </w:rPr>
        <w:t>"orders a magnitude more latency"</w:t>
      </w:r>
      <w:r w:rsidRPr="00381144">
        <w:t xml:space="preserve"> to every transaction. More importantly, it creates a "shared fate" between your regions. If the replication link between them breaks for any reason, the system can't get a commit confirmation from both data stores. The result is that the application becomes unavailable to the user, effectively causing an outage.</w:t>
      </w:r>
    </w:p>
    <w:p w14:paraId="1C4C8FBC" w14:textId="77777777" w:rsidR="00381144" w:rsidRPr="00381144" w:rsidRDefault="00381144" w:rsidP="00381144">
      <w:r w:rsidRPr="00381144">
        <w:t xml:space="preserve">-------------------------------------------------------------------------------- </w:t>
      </w:r>
    </w:p>
    <w:p w14:paraId="4032F35E" w14:textId="77777777" w:rsidR="00381144" w:rsidRPr="00381144" w:rsidRDefault="00381144" w:rsidP="00381144">
      <w:pPr>
        <w:rPr>
          <w:b/>
          <w:bCs/>
        </w:rPr>
      </w:pPr>
      <w:r w:rsidRPr="00381144">
        <w:rPr>
          <w:b/>
          <w:bCs/>
        </w:rPr>
        <w:t>3. Your App Is Only as Resilient as Your Weakest Dependency</w:t>
      </w:r>
    </w:p>
    <w:p w14:paraId="7DAF2F57" w14:textId="77777777" w:rsidR="00381144" w:rsidRPr="00381144" w:rsidRDefault="00381144" w:rsidP="00381144">
      <w:r w:rsidRPr="00381144">
        <w:t>A common oversight in multi-region planning is focusing solely on your own application while ignoring its external dependencies. A multi-region application's resilience is ultimately limited by the resilience of every service it relies on, from third-party APIs to on-prem data centers.</w:t>
      </w:r>
    </w:p>
    <w:p w14:paraId="44B826C6" w14:textId="77777777" w:rsidR="00381144" w:rsidRPr="00381144" w:rsidRDefault="00381144" w:rsidP="00381144">
      <w:r w:rsidRPr="00381144">
        <w:t xml:space="preserve">The session highlighted a clear example of a third-party dependency: a highly resilient, multi-region application that relied on a single endpoint for payment processing. Even if their application could fail over perfectly, if that single third-party service failed, the entire application would still be "out of commission." The recommended strategy is to incorporate a second, redundant provider and actively use both, for example, by "send[ing] 50% of my transactions to one 50% of my transactions to the other." This ensures all dependencies are constantly exercised and prevents a failover from creating a </w:t>
      </w:r>
      <w:r w:rsidRPr="00381144">
        <w:rPr>
          <w:b/>
          <w:bCs/>
        </w:rPr>
        <w:t>"bimodal operation"</w:t>
      </w:r>
      <w:r w:rsidRPr="00381144">
        <w:t>—a completely different operating mode that the team has never experienced.</w:t>
      </w:r>
    </w:p>
    <w:p w14:paraId="67B451AB" w14:textId="77777777" w:rsidR="00381144" w:rsidRPr="00381144" w:rsidRDefault="00381144" w:rsidP="00381144">
      <w:r w:rsidRPr="00381144">
        <w:lastRenderedPageBreak/>
        <w:t>On-prem dependencies present a different but equally critical challenge: latency. Most enterprises choose a primary cloud region that is geographically close to their on-prem data centers for low-latency communication. By its nature, a standby region will be farther away. During a failover, the latency between the standby cloud region and the on-prem dependency can increase dramatically, potentially breaking application functionality that was never engineered to tolerate such delays.</w:t>
      </w:r>
    </w:p>
    <w:p w14:paraId="0BAE01DD" w14:textId="77777777" w:rsidR="00381144" w:rsidRPr="00381144" w:rsidRDefault="00381144" w:rsidP="00381144">
      <w:r w:rsidRPr="00381144">
        <w:t xml:space="preserve">-------------------------------------------------------------------------------- </w:t>
      </w:r>
    </w:p>
    <w:p w14:paraId="2D8A2E9D" w14:textId="77777777" w:rsidR="00381144" w:rsidRPr="00381144" w:rsidRDefault="00381144" w:rsidP="00381144">
      <w:pPr>
        <w:rPr>
          <w:b/>
          <w:bCs/>
        </w:rPr>
      </w:pPr>
      <w:r w:rsidRPr="00381144">
        <w:rPr>
          <w:b/>
          <w:bCs/>
        </w:rPr>
        <w:t>4. The Best Disaster Recovery Plan Is Your Daily Routine</w:t>
      </w:r>
    </w:p>
    <w:p w14:paraId="292B00C6" w14:textId="77777777" w:rsidR="00381144" w:rsidRPr="00381144" w:rsidRDefault="00381144" w:rsidP="00381144">
      <w:r w:rsidRPr="00381144">
        <w:t>The importance of relentless testing cannot be overstated. A disaster recovery (DR) strategy that exists only on paper or is tested once a year is not a reliable strategy at all.</w:t>
      </w:r>
    </w:p>
    <w:p w14:paraId="71C96732" w14:textId="77777777" w:rsidR="00381144" w:rsidRPr="00381144" w:rsidRDefault="00381144" w:rsidP="00381144">
      <w:r w:rsidRPr="00381144">
        <w:t>"...an untested Dr strategy is not a Dr strategy."</w:t>
      </w:r>
    </w:p>
    <w:p w14:paraId="5688DD01" w14:textId="77777777" w:rsidR="00381144" w:rsidRPr="00381144" w:rsidRDefault="00381144" w:rsidP="00381144">
      <w:r w:rsidRPr="00381144">
        <w:t xml:space="preserve">Vanguard's "Follow the Sun" model provides the ultimate real-world example of this principle. To give their traders in Australia, the UK, and the US the fastest access, Vanguard designed a system where the primary "write" region for their data shifts along with the workday. This is not just a conceptual model; it’s a massive engineering investment. They built a custom tool called </w:t>
      </w:r>
      <w:r w:rsidRPr="00381144">
        <w:rPr>
          <w:b/>
          <w:bCs/>
        </w:rPr>
        <w:t>"ghost" (the Global Orchestration and Status tool)</w:t>
      </w:r>
      <w:r w:rsidRPr="00381144">
        <w:t xml:space="preserve"> to maintain global state and manage this complex orchestration. Their microservices communicate with ghost via a custom library, </w:t>
      </w:r>
      <w:r w:rsidRPr="00381144">
        <w:rPr>
          <w:b/>
          <w:bCs/>
        </w:rPr>
        <w:t>"gmr lib"</w:t>
      </w:r>
      <w:r w:rsidRPr="00381144">
        <w:t xml:space="preserve"> (available in Java, Python, and other languages), which enables sophisticated capabilities like "switchable hubs" and "write forwarding."</w:t>
      </w:r>
    </w:p>
    <w:p w14:paraId="5B93424F" w14:textId="77777777" w:rsidR="00381144" w:rsidRPr="00381144" w:rsidRDefault="00381144" w:rsidP="00381144">
      <w:r w:rsidRPr="00381144">
        <w:t>The key insight is profound: this operational pattern means Vanguard inherently tests its region-switching capability three times every single day as part of its normal business procedure. Failover isn't a rare, high-stress event; it's a routine, automated part of daily operations. While acknowledging that running this active-active infrastructure is expensive, Vanguard's business case is powerful.</w:t>
      </w:r>
    </w:p>
    <w:p w14:paraId="3B63AD76" w14:textId="77777777" w:rsidR="00381144" w:rsidRPr="00381144" w:rsidRDefault="00381144" w:rsidP="00381144">
      <w:r w:rsidRPr="00381144">
        <w:t>"...if we can avoid one single incident by having this infrastructure it will actually pay for all of the infrastructure for the life of our systems."</w:t>
      </w:r>
    </w:p>
    <w:p w14:paraId="7A025CC2" w14:textId="77777777" w:rsidR="00381144" w:rsidRPr="00381144" w:rsidRDefault="00381144" w:rsidP="00381144">
      <w:r w:rsidRPr="00381144">
        <w:t xml:space="preserve">-------------------------------------------------------------------------------- </w:t>
      </w:r>
    </w:p>
    <w:p w14:paraId="47AD76F6" w14:textId="77777777" w:rsidR="00381144" w:rsidRPr="00381144" w:rsidRDefault="00381144" w:rsidP="00381144">
      <w:pPr>
        <w:rPr>
          <w:b/>
          <w:bCs/>
        </w:rPr>
      </w:pPr>
      <w:r w:rsidRPr="00381144">
        <w:rPr>
          <w:b/>
          <w:bCs/>
        </w:rPr>
        <w:t>Conclusion: Is It Worth the Journey?</w:t>
      </w:r>
    </w:p>
    <w:p w14:paraId="64B99834" w14:textId="77777777" w:rsidR="00381144" w:rsidRPr="00381144" w:rsidRDefault="00381144" w:rsidP="00381144">
      <w:r w:rsidRPr="00381144">
        <w:t xml:space="preserve">Moving to a multi-region architecture is not a simple technical fix for uptime. It is a complex strategic initiative that demands a deep and honest assessment of business value, data consistency trade-offs, hidden dependencies, and, most importantly, a commitment to relentless operational readiness. It is a commitment that may involve building custom </w:t>
      </w:r>
      <w:r w:rsidRPr="00381144">
        <w:lastRenderedPageBreak/>
        <w:t>orchestration tools like Vanguard's "ghost" or re-architecting your services to manage "bimodal" operations.</w:t>
      </w:r>
    </w:p>
    <w:p w14:paraId="3F10DEC1" w14:textId="77777777" w:rsidR="00381144" w:rsidRPr="00381144" w:rsidRDefault="00381144" w:rsidP="00381144">
      <w:r w:rsidRPr="00381144">
        <w:t xml:space="preserve">These truths don't argue against multi-region architecture but call for a more deliberate and clear-eyed approach. It is a powerful tool for resilience, but only when applied to the right problems for the right reasons. Now that you've seen the true complexity, which of your applications </w:t>
      </w:r>
      <w:r w:rsidRPr="00381144">
        <w:rPr>
          <w:i/>
          <w:iCs/>
        </w:rPr>
        <w:t>really</w:t>
      </w:r>
      <w:r w:rsidRPr="00381144">
        <w:t xml:space="preserve"> justifies the cost and effort of a multi-region journey?</w:t>
      </w:r>
    </w:p>
    <w:p w14:paraId="21BA1162" w14:textId="77777777" w:rsidR="00BA640A" w:rsidRDefault="00BA640A"/>
    <w:sectPr w:rsidR="00BA6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E4060"/>
    <w:multiLevelType w:val="multilevel"/>
    <w:tmpl w:val="BFE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34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40A"/>
    <w:rsid w:val="00381144"/>
    <w:rsid w:val="00BA640A"/>
    <w:rsid w:val="00D56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CC7F"/>
  <w15:chartTrackingRefBased/>
  <w15:docId w15:val="{1CA7A844-37E5-46AF-9BD5-EAC7EBD8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40A"/>
    <w:rPr>
      <w:rFonts w:eastAsiaTheme="majorEastAsia" w:cstheme="majorBidi"/>
      <w:color w:val="272727" w:themeColor="text1" w:themeTint="D8"/>
    </w:rPr>
  </w:style>
  <w:style w:type="paragraph" w:styleId="Title">
    <w:name w:val="Title"/>
    <w:basedOn w:val="Normal"/>
    <w:next w:val="Normal"/>
    <w:link w:val="TitleChar"/>
    <w:uiPriority w:val="10"/>
    <w:qFormat/>
    <w:rsid w:val="00BA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40A"/>
    <w:pPr>
      <w:spacing w:before="160"/>
      <w:jc w:val="center"/>
    </w:pPr>
    <w:rPr>
      <w:i/>
      <w:iCs/>
      <w:color w:val="404040" w:themeColor="text1" w:themeTint="BF"/>
    </w:rPr>
  </w:style>
  <w:style w:type="character" w:customStyle="1" w:styleId="QuoteChar">
    <w:name w:val="Quote Char"/>
    <w:basedOn w:val="DefaultParagraphFont"/>
    <w:link w:val="Quote"/>
    <w:uiPriority w:val="29"/>
    <w:rsid w:val="00BA640A"/>
    <w:rPr>
      <w:i/>
      <w:iCs/>
      <w:color w:val="404040" w:themeColor="text1" w:themeTint="BF"/>
    </w:rPr>
  </w:style>
  <w:style w:type="paragraph" w:styleId="ListParagraph">
    <w:name w:val="List Paragraph"/>
    <w:basedOn w:val="Normal"/>
    <w:uiPriority w:val="34"/>
    <w:qFormat/>
    <w:rsid w:val="00BA640A"/>
    <w:pPr>
      <w:ind w:left="720"/>
      <w:contextualSpacing/>
    </w:pPr>
  </w:style>
  <w:style w:type="character" w:styleId="IntenseEmphasis">
    <w:name w:val="Intense Emphasis"/>
    <w:basedOn w:val="DefaultParagraphFont"/>
    <w:uiPriority w:val="21"/>
    <w:qFormat/>
    <w:rsid w:val="00BA640A"/>
    <w:rPr>
      <w:i/>
      <w:iCs/>
      <w:color w:val="0F4761" w:themeColor="accent1" w:themeShade="BF"/>
    </w:rPr>
  </w:style>
  <w:style w:type="paragraph" w:styleId="IntenseQuote">
    <w:name w:val="Intense Quote"/>
    <w:basedOn w:val="Normal"/>
    <w:next w:val="Normal"/>
    <w:link w:val="IntenseQuoteChar"/>
    <w:uiPriority w:val="30"/>
    <w:qFormat/>
    <w:rsid w:val="00BA6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40A"/>
    <w:rPr>
      <w:i/>
      <w:iCs/>
      <w:color w:val="0F4761" w:themeColor="accent1" w:themeShade="BF"/>
    </w:rPr>
  </w:style>
  <w:style w:type="character" w:styleId="IntenseReference">
    <w:name w:val="Intense Reference"/>
    <w:basedOn w:val="DefaultParagraphFont"/>
    <w:uiPriority w:val="32"/>
    <w:qFormat/>
    <w:rsid w:val="00BA64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580671">
      <w:bodyDiv w:val="1"/>
      <w:marLeft w:val="0"/>
      <w:marRight w:val="0"/>
      <w:marTop w:val="0"/>
      <w:marBottom w:val="0"/>
      <w:divBdr>
        <w:top w:val="none" w:sz="0" w:space="0" w:color="auto"/>
        <w:left w:val="none" w:sz="0" w:space="0" w:color="auto"/>
        <w:bottom w:val="none" w:sz="0" w:space="0" w:color="auto"/>
        <w:right w:val="none" w:sz="0" w:space="0" w:color="auto"/>
      </w:divBdr>
    </w:div>
    <w:div w:id="181417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Karpurapu</dc:creator>
  <cp:keywords/>
  <dc:description/>
  <cp:lastModifiedBy>Sravan Karpurapu</cp:lastModifiedBy>
  <cp:revision>2</cp:revision>
  <dcterms:created xsi:type="dcterms:W3CDTF">2025-12-23T03:40:00Z</dcterms:created>
  <dcterms:modified xsi:type="dcterms:W3CDTF">2025-12-23T03:40:00Z</dcterms:modified>
</cp:coreProperties>
</file>