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– ASSIGNMENT 1</w:t>
        <w:br/>
        <w:t>TASK 1 – Understand the Problem and Identify the Data</w:t>
      </w:r>
    </w:p>
    <w:p>
      <w:pPr>
        <w:jc w:val="center"/>
      </w:pPr>
      <w:r>
        <w:rPr>
          <w:i/>
        </w:rPr>
        <w:t>Marks: 4 | Grama Jyothi Rural Electricity Co-operative</w:t>
      </w:r>
    </w:p>
    <w:p>
      <w:pPr>
        <w:pStyle w:val="Heading1"/>
      </w:pPr>
      <w:r>
        <w:t>1. Problem Analysis</w:t>
      </w:r>
    </w:p>
    <w:p>
      <w:r>
        <w:t>The program receives meter readings and household details, calculates electricity consumption, applies the slab tariff and fixed charge, and produces an exact bill in paise. The design must also handle a 16-bit meter rollover from 65535 to 0 and scale from village to district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Data item</w:t>
            </w:r>
          </w:p>
        </w:tc>
        <w:tc>
          <w:tcPr>
            <w:tcW w:type="dxa" w:w="3408"/>
          </w:tcPr>
          <w:p>
            <w:r>
              <w:t>Type / representation</w:t>
            </w:r>
          </w:p>
        </w:tc>
        <w:tc>
          <w:tcPr>
            <w:tcW w:type="dxa" w:w="3408"/>
          </w:tcPr>
          <w:p>
            <w:r>
              <w:t>Why it is needed</w:t>
            </w:r>
          </w:p>
        </w:tc>
      </w:tr>
      <w:tr>
        <w:tc>
          <w:tcPr>
            <w:tcW w:type="dxa" w:w="3408"/>
          </w:tcPr>
          <w:p>
            <w:r>
              <w:t>Household number</w:t>
            </w:r>
          </w:p>
        </w:tc>
        <w:tc>
          <w:tcPr>
            <w:tcW w:type="dxa" w:w="3408"/>
          </w:tcPr>
          <w:p>
            <w:r>
              <w:t>int or long long</w:t>
            </w:r>
          </w:p>
        </w:tc>
        <w:tc>
          <w:tcPr>
            <w:tcW w:type="dxa" w:w="3408"/>
          </w:tcPr>
          <w:p>
            <w:r>
              <w:t>Identifies each consumer; integer because it is a whole-number identifier.</w:t>
            </w:r>
          </w:p>
        </w:tc>
      </w:tr>
      <w:tr>
        <w:tc>
          <w:tcPr>
            <w:tcW w:type="dxa" w:w="3408"/>
          </w:tcPr>
          <w:p>
            <w:r>
              <w:t>Category</w:t>
            </w:r>
          </w:p>
        </w:tc>
        <w:tc>
          <w:tcPr>
            <w:tcW w:type="dxa" w:w="3408"/>
          </w:tcPr>
          <w:p>
            <w:r>
              <w:t>char</w:t>
            </w:r>
          </w:p>
        </w:tc>
        <w:tc>
          <w:tcPr>
            <w:tcW w:type="dxa" w:w="3408"/>
          </w:tcPr>
          <w:p>
            <w:r>
              <w:t>Stores a small category code such as R/C.</w:t>
            </w:r>
          </w:p>
        </w:tc>
      </w:tr>
      <w:tr>
        <w:tc>
          <w:tcPr>
            <w:tcW w:type="dxa" w:w="3408"/>
          </w:tcPr>
          <w:p>
            <w:r>
              <w:t>Previous reading</w:t>
            </w:r>
          </w:p>
        </w:tc>
        <w:tc>
          <w:tcPr>
            <w:tcW w:type="dxa" w:w="3408"/>
          </w:tcPr>
          <w:p>
            <w:r>
              <w:t>meter_t (unsigned short)</w:t>
            </w:r>
          </w:p>
        </w:tc>
        <w:tc>
          <w:tcPr>
            <w:tcW w:type="dxa" w:w="3408"/>
          </w:tcPr>
          <w:p>
            <w:r>
              <w:t>Represents the 16-bit meter register, 0–65535.</w:t>
            </w:r>
          </w:p>
        </w:tc>
      </w:tr>
      <w:tr>
        <w:tc>
          <w:tcPr>
            <w:tcW w:type="dxa" w:w="3408"/>
          </w:tcPr>
          <w:p>
            <w:r>
              <w:t>Current reading</w:t>
            </w:r>
          </w:p>
        </w:tc>
        <w:tc>
          <w:tcPr>
            <w:tcW w:type="dxa" w:w="3408"/>
          </w:tcPr>
          <w:p>
            <w:r>
              <w:t>meter_t</w:t>
            </w:r>
          </w:p>
        </w:tc>
        <w:tc>
          <w:tcPr>
            <w:tcW w:type="dxa" w:w="3408"/>
          </w:tcPr>
          <w:p>
            <w:r>
              <w:t>Represents the latest 16-bit register value.</w:t>
            </w:r>
          </w:p>
        </w:tc>
      </w:tr>
      <w:tr>
        <w:tc>
          <w:tcPr>
            <w:tcW w:type="dxa" w:w="3408"/>
          </w:tcPr>
          <w:p>
            <w:r>
              <w:t>Units consumed</w:t>
            </w:r>
          </w:p>
        </w:tc>
        <w:tc>
          <w:tcPr>
            <w:tcW w:type="dxa" w:w="3408"/>
          </w:tcPr>
          <w:p>
            <w:r>
              <w:t>unsigned int</w:t>
            </w:r>
          </w:p>
        </w:tc>
        <w:tc>
          <w:tcPr>
            <w:tcW w:type="dxa" w:w="3408"/>
          </w:tcPr>
          <w:p>
            <w:r>
              <w:t>Non-negative consumption after rollover calculation.</w:t>
            </w:r>
          </w:p>
        </w:tc>
      </w:tr>
      <w:tr>
        <w:tc>
          <w:tcPr>
            <w:tcW w:type="dxa" w:w="3408"/>
          </w:tcPr>
          <w:p>
            <w:r>
              <w:t>Energy charge</w:t>
            </w:r>
          </w:p>
        </w:tc>
        <w:tc>
          <w:tcPr>
            <w:tcW w:type="dxa" w:w="3408"/>
          </w:tcPr>
          <w:p>
            <w:r>
              <w:t>long</w:t>
            </w:r>
          </w:p>
        </w:tc>
        <w:tc>
          <w:tcPr>
            <w:tcW w:type="dxa" w:w="3408"/>
          </w:tcPr>
          <w:p>
            <w:r>
              <w:t>Stores charge exactly in paise.</w:t>
            </w:r>
          </w:p>
        </w:tc>
      </w:tr>
      <w:tr>
        <w:tc>
          <w:tcPr>
            <w:tcW w:type="dxa" w:w="3408"/>
          </w:tcPr>
          <w:p>
            <w:r>
              <w:t>Fixed charge</w:t>
            </w:r>
          </w:p>
        </w:tc>
        <w:tc>
          <w:tcPr>
            <w:tcW w:type="dxa" w:w="3408"/>
          </w:tcPr>
          <w:p>
            <w:r>
              <w:t>long</w:t>
            </w:r>
          </w:p>
        </w:tc>
        <w:tc>
          <w:tcPr>
            <w:tcW w:type="dxa" w:w="3408"/>
          </w:tcPr>
          <w:p>
            <w:r>
              <w:t>Fixed tariff component in paise.</w:t>
            </w:r>
          </w:p>
        </w:tc>
      </w:tr>
      <w:tr>
        <w:tc>
          <w:tcPr>
            <w:tcW w:type="dxa" w:w="3408"/>
          </w:tcPr>
          <w:p>
            <w:r>
              <w:t>Total bill</w:t>
            </w:r>
          </w:p>
        </w:tc>
        <w:tc>
          <w:tcPr>
            <w:tcW w:type="dxa" w:w="3408"/>
          </w:tcPr>
          <w:p>
            <w:r>
              <w:t>long / long long</w:t>
            </w:r>
          </w:p>
        </w:tc>
        <w:tc>
          <w:tcPr>
            <w:tcW w:type="dxa" w:w="3408"/>
          </w:tcPr>
          <w:p>
            <w:r>
              <w:t>Sum of fixed and energy charges; long long is safest for large aggregate totals.</w:t>
            </w:r>
          </w:p>
        </w:tc>
      </w:tr>
      <w:tr>
        <w:tc>
          <w:tcPr>
            <w:tcW w:type="dxa" w:w="3408"/>
          </w:tcPr>
          <w:p>
            <w:r>
              <w:t>Tariff rates</w:t>
            </w:r>
          </w:p>
        </w:tc>
        <w:tc>
          <w:tcPr>
            <w:tcW w:type="dxa" w:w="3408"/>
          </w:tcPr>
          <w:p>
            <w:r>
              <w:t>macros / const values</w:t>
            </w:r>
          </w:p>
        </w:tc>
        <w:tc>
          <w:tcPr>
            <w:tcW w:type="dxa" w:w="3408"/>
          </w:tcPr>
          <w:p>
            <w:r>
              <w:t>Do not change during one compiled run; centralize tariff revision.</w:t>
            </w:r>
          </w:p>
        </w:tc>
      </w:tr>
    </w:tbl>
    <w:p>
      <w:pPr>
        <w:pStyle w:val="Heading1"/>
      </w:pPr>
      <w:r>
        <w:t>2. Inputs and Outputs</w:t>
      </w:r>
    </w:p>
    <w:p>
      <w:pPr>
        <w:pStyle w:val="ListBullet"/>
      </w:pPr>
      <w:r>
        <w:t>Inputs: previous meter reading, current meter reading, household number and category.</w:t>
      </w:r>
    </w:p>
    <w:p>
      <w:pPr>
        <w:pStyle w:val="ListBullet"/>
      </w:pPr>
      <w:r>
        <w:t>Outputs: units consumed, energy charge, fixed charge and total bill.</w:t>
      </w:r>
    </w:p>
    <w:p>
      <w:pPr>
        <w:pStyle w:val="ListBullet"/>
      </w:pPr>
      <w:r>
        <w:t>Intermediate values must remain non-negative and bills must be exact to the paisa.</w:t>
      </w:r>
    </w:p>
    <w:p>
      <w:pPr>
        <w:pStyle w:val="ListBullet"/>
      </w:pPr>
      <w:r>
        <w:t>Every bill must satisfy: total = fixed charge + energy charge.</w:t>
      </w:r>
    </w:p>
    <w:p>
      <w:pPr>
        <w:pStyle w:val="ListBullet"/>
      </w:pPr>
      <w:r>
        <w:t>Meter rollover must never produce a negative consumption value.</w:t>
      </w:r>
    </w:p>
    <w:p>
      <w:pPr>
        <w:pStyle w:val="Heading1"/>
      </w:pPr>
      <w:r>
        <w:t>3. Values That Should Be Constants</w:t>
      </w:r>
    </w:p>
    <w:p>
      <w:pPr>
        <w:pStyle w:val="ListBullet"/>
      </w:pPr>
      <w:r>
        <w:t>Slab limits: 100 and 200 units.</w:t>
      </w:r>
    </w:p>
    <w:p>
      <w:pPr>
        <w:pStyle w:val="ListBullet"/>
      </w:pPr>
      <w:r>
        <w:t>Rates: 0, 225 and 450 paise per unit.</w:t>
      </w:r>
    </w:p>
    <w:p>
      <w:pPr>
        <w:pStyle w:val="ListBullet"/>
      </w:pPr>
      <w:r>
        <w:t>Fixed charge: 5000 paise.</w:t>
      </w:r>
    </w:p>
    <w:p>
      <w:pPr>
        <w:pStyle w:val="ListBullet"/>
      </w:pPr>
      <w:r>
        <w:t>Meter maximum: 65535 is supplied by USHRT_MAX for the chosen meter type.</w:t>
      </w:r>
    </w:p>
    <w:p>
      <w:pPr>
        <w:pStyle w:val="Heading1"/>
      </w:pPr>
      <w:r>
        <w:t>4. Alternative: Readings as Text</w:t>
      </w:r>
    </w:p>
    <w:p>
      <w:r>
        <w:t>If readings such as 01530 are stored as strings, each reading uses d characters plus a terminating '\0'. Conversion and comparison take O(d) time per reading. Integer storage uses fixed space O(1) per reading and arithmetic/comparison is O(1). Text is useful when leading zeros must be preserved, but numeric storage is simpler and faster for billing calculations.</w:t>
      </w:r>
    </w:p>
    <w:p>
      <w:pPr>
        <w:pStyle w:val="Heading1"/>
      </w:pPr>
      <w:r>
        <w:t>5. Assumptions</w:t>
      </w:r>
    </w:p>
    <w:p>
      <w:pPr>
        <w:pStyle w:val="ListBullet"/>
      </w:pPr>
      <w:r>
        <w:t>Readings are valid 16-bit meter-register values.</w:t>
      </w:r>
    </w:p>
    <w:p>
      <w:pPr>
        <w:pStyle w:val="ListBullet"/>
      </w:pPr>
      <w:r>
        <w:t>A normal decrease is treated as rollover only when it represents the defined 16-bit counter wrap.</w:t>
      </w:r>
    </w:p>
    <w:p>
      <w:pPr>
        <w:pStyle w:val="ListBullet"/>
      </w:pPr>
      <w:r>
        <w:t>Money is represented in integer paise, not floating-point rupees.</w:t>
      </w:r>
    </w:p>
    <w:p>
      <w:pPr>
        <w:pStyle w:val="ListBullet"/>
      </w:pPr>
      <w:r>
        <w:t>Input validation rejects impossible or malformed values.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