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– ASSIGNMENT 1</w:t>
        <w:br/>
        <w:t>TASK 3 – Define the Constants</w:t>
      </w:r>
    </w:p>
    <w:p>
      <w:pPr>
        <w:jc w:val="center"/>
      </w:pPr>
      <w:r>
        <w:rPr>
          <w:i/>
        </w:rPr>
        <w:t>Marks: 3 | Grama Jyothi Rural Electricity Co-operative</w:t>
      </w:r>
    </w:p>
    <w:p>
      <w:pPr>
        <w:pStyle w:val="Heading1"/>
      </w:pPr>
      <w:r>
        <w:t>1. Centralized Tariff Constants</w:t>
      </w:r>
    </w:p>
    <w:p>
      <w:r>
        <w:t>The tariff values are defined once so a tariff revision does not require editing multiple formulas. The assignment's tariff is 0 paise for the first 100 units, 225 paise for units 101–200, 450 paise above 200, plus a fixed charge of 5000 paise.</w:t>
      </w:r>
    </w:p>
    <w:p>
      <w:r>
        <w:t>Completed C code:</w:t>
      </w:r>
    </w:p>
    <w:p>
      <w:pPr>
        <w:pStyle w:val="NoSpacing"/>
      </w:pPr>
      <w:r>
        <w:rPr>
          <w:rFonts w:ascii="Courier New" w:hAnsi="Courier New"/>
          <w:sz w:val="18"/>
        </w:rPr>
        <w:t>#include &lt;stdio.h&gt;\n#define SLAB1_UNITS 100\n#define SLAB2_UNITS 200\n#define RATE1_PAISE 0\n#define RATE2_PAISE 225\n#define RATE3_PAISE 450\n#define FIXED_CHARGE_PAISE 5000L\n\nlong compute_bill(int units) {\n    long paise = FIXED_CHARGE_PAISE;\n    if (units &lt;= SLAB1_UNITS) {\n        return paise;\n    }\n    if (units &lt;= SLAB2_UNITS) {\n        paise += (long)(units - SLAB1_UNITS) * RATE2_PAISE;\n        return paise;\n    }\n    paise += (long)(SLAB2_UNITS - SLAB1_UNITS) * RATE2_PAISE;\n    paise += (long)(units - SLAB2_UNITS) * RATE3_PAISE;\n    return paise;\n}\n\nint main(void) {\n    int tests[] = {0,100,150,200,350};\n    int n = sizeof tests / sizeof tests[0];\n    for (int i=0;i&lt;n;i++) {\n        long p=compute_bill(tests[i]);\n        printf("%3d units -&gt; Rs %ld.%02ld\\n", tests[i], p/100, p%100);\n    }\n}</w:t>
      </w:r>
    </w:p>
    <w:p>
      <w:r>
        <w:t>Sample / observed output:</w:t>
      </w:r>
    </w:p>
    <w:p>
      <w:pPr>
        <w:pStyle w:val="NoSpacing"/>
      </w:pPr>
      <w:r>
        <w:rPr>
          <w:rFonts w:ascii="Courier New" w:hAnsi="Courier New"/>
          <w:sz w:val="18"/>
        </w:rPr>
        <w:t>0 units -&gt; Rs 50.00</w:t>
        <w:br/>
        <w:t>100 units -&gt; Rs 50.00</w:t>
        <w:br/>
        <w:t>150 units -&gt; Rs 162.50</w:t>
        <w:br/>
        <w:t>200 units -&gt; Rs 275.00</w:t>
        <w:br/>
        <w:t>350 units -&gt; Rs 950.00</w:t>
      </w:r>
    </w:p>
    <w:p>
      <w:pPr>
        <w:pStyle w:val="Heading1"/>
      </w:pPr>
      <w:r>
        <w:t>2. #define vs const vs enum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Feature</w:t>
            </w:r>
          </w:p>
        </w:tc>
        <w:tc>
          <w:tcPr>
            <w:tcW w:type="dxa" w:w="2556"/>
          </w:tcPr>
          <w:p>
            <w:r>
              <w:t>#define</w:t>
            </w:r>
          </w:p>
        </w:tc>
        <w:tc>
          <w:tcPr>
            <w:tcW w:type="dxa" w:w="2556"/>
          </w:tcPr>
          <w:p>
            <w:r>
              <w:t>const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</w:tr>
      <w:tr>
        <w:tc>
          <w:tcPr>
            <w:tcW w:type="dxa" w:w="2556"/>
          </w:tcPr>
          <w:p>
            <w:r>
              <w:t>Type checking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Integer constants</w:t>
            </w:r>
          </w:p>
        </w:tc>
      </w:tr>
      <w:tr>
        <w:tc>
          <w:tcPr>
            <w:tcW w:type="dxa" w:w="2556"/>
          </w:tcPr>
          <w:p>
            <w:r>
              <w:t>Scope</w:t>
            </w:r>
          </w:p>
        </w:tc>
        <w:tc>
          <w:tcPr>
            <w:tcW w:type="dxa" w:w="2556"/>
          </w:tcPr>
          <w:p>
            <w:r>
              <w:t>Preprocessor scope rules</w:t>
            </w:r>
          </w:p>
        </w:tc>
        <w:tc>
          <w:tcPr>
            <w:tcW w:type="dxa" w:w="2556"/>
          </w:tcPr>
          <w:p>
            <w:r>
              <w:t>C scope</w:t>
            </w:r>
          </w:p>
        </w:tc>
        <w:tc>
          <w:tcPr>
            <w:tcW w:type="dxa" w:w="2556"/>
          </w:tcPr>
          <w:p>
            <w:r>
              <w:t>C scope</w:t>
            </w:r>
          </w:p>
        </w:tc>
      </w:tr>
      <w:tr>
        <w:tc>
          <w:tcPr>
            <w:tcW w:type="dxa" w:w="2556"/>
          </w:tcPr>
          <w:p>
            <w:r>
              <w:t>Debugger visibility</w:t>
            </w:r>
          </w:p>
        </w:tc>
        <w:tc>
          <w:tcPr>
            <w:tcW w:type="dxa" w:w="2556"/>
          </w:tcPr>
          <w:p>
            <w:r>
              <w:t>Usually less direct</w:t>
            </w:r>
          </w:p>
        </w:tc>
        <w:tc>
          <w:tcPr>
            <w:tcW w:type="dxa" w:w="2556"/>
          </w:tcPr>
          <w:p>
            <w:r>
              <w:t>Better</w:t>
            </w:r>
          </w:p>
        </w:tc>
        <w:tc>
          <w:tcPr>
            <w:tcW w:type="dxa" w:w="2556"/>
          </w:tcPr>
          <w:p>
            <w:r>
              <w:t>Better</w:t>
            </w:r>
          </w:p>
        </w:tc>
      </w:tr>
      <w:tr>
        <w:tc>
          <w:tcPr>
            <w:tcW w:type="dxa" w:w="2556"/>
          </w:tcPr>
          <w:p>
            <w:r>
              <w:t>Storage</w:t>
            </w:r>
          </w:p>
        </w:tc>
        <w:tc>
          <w:tcPr>
            <w:tcW w:type="dxa" w:w="2556"/>
          </w:tcPr>
          <w:p>
            <w:r>
              <w:t>No object storage required</w:t>
            </w:r>
          </w:p>
        </w:tc>
        <w:tc>
          <w:tcPr>
            <w:tcW w:type="dxa" w:w="2556"/>
          </w:tcPr>
          <w:p>
            <w:r>
              <w:t>May occupy storage</w:t>
            </w:r>
          </w:p>
        </w:tc>
        <w:tc>
          <w:tcPr>
            <w:tcW w:type="dxa" w:w="2556"/>
          </w:tcPr>
          <w:p>
            <w:r>
              <w:t>No separate object required in normal use</w:t>
            </w:r>
          </w:p>
        </w:tc>
      </w:tr>
      <w:tr>
        <w:tc>
          <w:tcPr>
            <w:tcW w:type="dxa" w:w="2556"/>
          </w:tcPr>
          <w:p>
            <w:r>
              <w:t>Best use here</w:t>
            </w:r>
          </w:p>
        </w:tc>
        <w:tc>
          <w:tcPr>
            <w:tcW w:type="dxa" w:w="2556"/>
          </w:tcPr>
          <w:p>
            <w:r>
              <w:t>Simple tariff macros</w:t>
            </w:r>
          </w:p>
        </w:tc>
        <w:tc>
          <w:tcPr>
            <w:tcW w:type="dxa" w:w="2556"/>
          </w:tcPr>
          <w:p>
            <w:r>
              <w:t>Typed runtime constants</w:t>
            </w:r>
          </w:p>
        </w:tc>
        <w:tc>
          <w:tcPr>
            <w:tcW w:type="dxa" w:w="2556"/>
          </w:tcPr>
          <w:p>
            <w:r>
              <w:t>Named integer choices</w:t>
            </w:r>
          </w:p>
        </w:tc>
      </w:tr>
    </w:tbl>
    <w:p>
      <w:r>
        <w:t>Changing RATE2_PAISE from 225 to 230 changes every calculation that uses the macro, giving a single-point tariff revision.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