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11 – Recommend and Defend the Final Design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Final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Design element</w:t>
            </w:r>
          </w:p>
        </w:tc>
        <w:tc>
          <w:tcPr>
            <w:tcW w:type="dxa" w:w="3408"/>
          </w:tcPr>
          <w:p>
            <w:r>
              <w:t>Recommendation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Meter reading</w:t>
            </w:r>
          </w:p>
        </w:tc>
        <w:tc>
          <w:tcPr>
            <w:tcW w:type="dxa" w:w="3408"/>
          </w:tcPr>
          <w:p>
            <w:r>
              <w:t>unsigned short / meter_t</w:t>
            </w:r>
          </w:p>
        </w:tc>
        <w:tc>
          <w:tcPr>
            <w:tcW w:type="dxa" w:w="3408"/>
          </w:tcPr>
          <w:p>
            <w:r>
              <w:t>Matches 16-bit register and supports rollover arithmetic.</w:t>
            </w:r>
          </w:p>
        </w:tc>
      </w:tr>
      <w:tr>
        <w:tc>
          <w:tcPr>
            <w:tcW w:type="dxa" w:w="3408"/>
          </w:tcPr>
          <w:p>
            <w:r>
              <w:t>Units</w:t>
            </w:r>
          </w:p>
        </w:tc>
        <w:tc>
          <w:tcPr>
            <w:tcW w:type="dxa" w:w="3408"/>
          </w:tcPr>
          <w:p>
            <w:r>
              <w:t>unsigned int</w:t>
            </w:r>
          </w:p>
        </w:tc>
        <w:tc>
          <w:tcPr>
            <w:tcW w:type="dxa" w:w="3408"/>
          </w:tcPr>
          <w:p>
            <w:r>
              <w:t>Whole, non-negative consumption.</w:t>
            </w:r>
          </w:p>
        </w:tc>
      </w:tr>
      <w:tr>
        <w:tc>
          <w:tcPr>
            <w:tcW w:type="dxa" w:w="3408"/>
          </w:tcPr>
          <w:p>
            <w:r>
              <w:t>Individual bill</w:t>
            </w:r>
          </w:p>
        </w:tc>
        <w:tc>
          <w:tcPr>
            <w:tcW w:type="dxa" w:w="3408"/>
          </w:tcPr>
          <w:p>
            <w:r>
              <w:t>long paise</w:t>
            </w:r>
          </w:p>
        </w:tc>
        <w:tc>
          <w:tcPr>
            <w:tcW w:type="dxa" w:w="3408"/>
          </w:tcPr>
          <w:p>
            <w:r>
              <w:t>Exact currency and sufficient range on tested platform.</w:t>
            </w:r>
          </w:p>
        </w:tc>
      </w:tr>
      <w:tr>
        <w:tc>
          <w:tcPr>
            <w:tcW w:type="dxa" w:w="3408"/>
          </w:tcPr>
          <w:p>
            <w:r>
              <w:t>District total</w:t>
            </w:r>
          </w:p>
        </w:tc>
        <w:tc>
          <w:tcPr>
            <w:tcW w:type="dxa" w:w="3408"/>
          </w:tcPr>
          <w:p>
            <w:r>
              <w:t>long long paise</w:t>
            </w:r>
          </w:p>
        </w:tc>
        <w:tc>
          <w:tcPr>
            <w:tcW w:type="dxa" w:w="3408"/>
          </w:tcPr>
          <w:p>
            <w:r>
              <w:t>Protects aggregate calculations.</w:t>
            </w:r>
          </w:p>
        </w:tc>
      </w:tr>
      <w:tr>
        <w:tc>
          <w:tcPr>
            <w:tcW w:type="dxa" w:w="3408"/>
          </w:tcPr>
          <w:p>
            <w:r>
              <w:t>Tariff constants</w:t>
            </w:r>
          </w:p>
        </w:tc>
        <w:tc>
          <w:tcPr>
            <w:tcW w:type="dxa" w:w="3408"/>
          </w:tcPr>
          <w:p>
            <w:r>
              <w:t>#define or typed const</w:t>
            </w:r>
          </w:p>
        </w:tc>
        <w:tc>
          <w:tcPr>
            <w:tcW w:type="dxa" w:w="3408"/>
          </w:tcPr>
          <w:p>
            <w:r>
              <w:t>Centralizes revision; typed const is preferable where type checking matters.</w:t>
            </w:r>
          </w:p>
        </w:tc>
      </w:tr>
      <w:tr>
        <w:tc>
          <w:tcPr>
            <w:tcW w:type="dxa" w:w="3408"/>
          </w:tcPr>
          <w:p>
            <w:r>
              <w:t>Small repeated calculations</w:t>
            </w:r>
          </w:p>
        </w:tc>
        <w:tc>
          <w:tcPr>
            <w:tcW w:type="dxa" w:w="3408"/>
          </w:tcPr>
          <w:p>
            <w:r>
              <w:t>static inline functions / safe macros</w:t>
            </w:r>
          </w:p>
        </w:tc>
        <w:tc>
          <w:tcPr>
            <w:tcW w:type="dxa" w:w="3408"/>
          </w:tcPr>
          <w:p>
            <w:r>
              <w:t>Avoids unsafe macro side effects where possible.</w:t>
            </w:r>
          </w:p>
        </w:tc>
      </w:tr>
      <w:tr>
        <w:tc>
          <w:tcPr>
            <w:tcW w:type="dxa" w:w="3408"/>
          </w:tcPr>
          <w:p>
            <w:r>
              <w:t>Debugging</w:t>
            </w:r>
          </w:p>
        </w:tc>
        <w:tc>
          <w:tcPr>
            <w:tcW w:type="dxa" w:w="3408"/>
          </w:tcPr>
          <w:p>
            <w:r>
              <w:t>#ifdef DEBUG</w:t>
            </w:r>
          </w:p>
        </w:tc>
        <w:tc>
          <w:tcPr>
            <w:tcW w:type="dxa" w:w="3408"/>
          </w:tcPr>
          <w:p>
            <w:r>
              <w:t>Removes debug paths from normal builds.</w:t>
            </w:r>
          </w:p>
        </w:tc>
      </w:tr>
      <w:tr>
        <w:tc>
          <w:tcPr>
            <w:tcW w:type="dxa" w:w="3408"/>
          </w:tcPr>
          <w:p>
            <w:r>
              <w:t>Input validation</w:t>
            </w:r>
          </w:p>
        </w:tc>
        <w:tc>
          <w:tcPr>
            <w:tcW w:type="dxa" w:w="3408"/>
          </w:tcPr>
          <w:p>
            <w:r>
              <w:t>scanf return checks + range checks</w:t>
            </w:r>
          </w:p>
        </w:tc>
        <w:tc>
          <w:tcPr>
            <w:tcW w:type="dxa" w:w="3408"/>
          </w:tcPr>
          <w:p>
            <w:r>
              <w:t>Prevents malformed readings from entering billing calculations.</w:t>
            </w:r>
          </w:p>
        </w:tc>
      </w:tr>
    </w:tbl>
    <w:p>
      <w:pPr>
        <w:pStyle w:val="Heading1"/>
      </w:pPr>
      <w:r>
        <w:t>2. Tariff Revision</w:t>
      </w:r>
    </w:p>
    <w:p>
      <w:r>
        <w:t>If tariffs remain compile-time constants, change the values in one header/source location and rebuild. For frequent business changes, Task 12's configuration-file design is preferable because it avoids recompilation.</w:t>
      </w:r>
    </w:p>
    <w:p>
      <w:pPr>
        <w:pStyle w:val="Heading1"/>
      </w:pPr>
      <w:r>
        <w:t>3. Limitations</w:t>
      </w:r>
    </w:p>
    <w:p>
      <w:pPr>
        <w:pStyle w:val="ListBullet"/>
      </w:pPr>
      <w:r>
        <w:t>The original design assumes a fixed tariff and 16-bit meter register.</w:t>
      </w:r>
    </w:p>
    <w:p>
      <w:pPr>
        <w:pStyle w:val="ListBullet"/>
      </w:pPr>
      <w:r>
        <w:t>District-scale totals should use wide integer types.</w:t>
      </w:r>
    </w:p>
    <w:p>
      <w:pPr>
        <w:pStyle w:val="ListBullet"/>
      </w:pPr>
      <w:r>
        <w:t>The original model does not represent time-of-day consumption intervals.</w:t>
      </w:r>
    </w:p>
    <w:p>
      <w:pPr>
        <w:pStyle w:val="ListBullet"/>
      </w:pPr>
      <w:r>
        <w:t>Input validation must distinguish legitimate rollover from an invalid decrease.</w:t>
      </w:r>
    </w:p>
    <w:p>
      <w:pPr>
        <w:pStyle w:val="Heading1"/>
      </w:pPr>
      <w:r>
        <w:t>4. Evidence-Based Defence</w:t>
      </w:r>
    </w:p>
    <w:p>
      <w:r>
        <w:t>The tested meter arithmetic produced 330 units for 1200→1530 and 256 units for 65400→120. The tariff tests matched the assignment's expected outputs for 0, 100, 150, 200 and 350 units. These results support the use of modular unsigned meter arithmetic and integer paise.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