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Mode of Travel Shift Analysis from Private to Public Transport in India: A Machine Learning Approach</w:t>
      </w:r>
    </w:p>
    <w:p>
      <w:r>
        <w:rPr>
          <w:sz w:val="8"/>
        </w:rPr>
      </w:r>
    </w:p>
    <w:p>
      <w:pPr>
        <w:jc w:val="center"/>
      </w:pPr>
      <w:r>
        <w:rPr>
          <w:rFonts w:ascii="Times New Roman" w:hAnsi="Times New Roman"/>
          <w:sz w:val="22"/>
        </w:rPr>
        <w:t>Sravan Suraj Chunduru</w:t>
      </w:r>
    </w:p>
    <w:p>
      <w:pPr>
        <w:jc w:val="center"/>
      </w:pPr>
      <w:r>
        <w:rPr>
          <w:rFonts w:ascii="Times New Roman" w:hAnsi="Times New Roman"/>
          <w:sz w:val="20"/>
        </w:rPr>
        <w:t>Under the guidance of Dr. Shivani Yadao, Associate Professor</w:t>
      </w:r>
    </w:p>
    <w:p>
      <w:r>
        <w:rPr>
          <w:sz w:val="8"/>
        </w:rPr>
      </w:r>
    </w:p>
    <w:p>
      <w:pPr>
        <w:jc w:val="center"/>
      </w:pPr>
      <w:r>
        <w:rPr>
          <w:rFonts w:ascii="Times New Roman" w:hAnsi="Times New Roman"/>
          <w:b/>
          <w:sz w:val="22"/>
        </w:rPr>
        <w:t>Abstract</w:t>
      </w:r>
    </w:p>
    <w:p>
      <w:pPr>
        <w:jc w:val="both"/>
      </w:pPr>
      <w:r>
        <w:rPr>
          <w:rFonts w:ascii="Times New Roman" w:hAnsi="Times New Roman"/>
          <w:sz w:val="20"/>
        </w:rPr>
        <w:t>The rapid urbanization of India has led to a significant increase in private vehicle usage, contributing to traffic congestion, air pollution, and increased carbon emissions. This paper analyzes the mode of travel shift from private to public transport in India using 23 years of data (2001–2023). Three machine learning models — Linear Regression, Random Forest Regressor, and ARIMA — were implemented and compared to predict public transport modal share. The dataset includes variables such as private vehicle registrations, metro ridership, number of metro cities, fuel prices, and GDP growth rate. Results indicate that ARIMA achieved the best performance with an R² score of 0.9574, MAE of 0.3098, and RMSE of 0.3788. The ARIMA forecast predicts public transport share will grow from 38.5% in 2023 to 47.27% by 2030, confirming a sustained modal shift driven by metro rail expansion and rising fuel prices.</w:t>
      </w:r>
    </w:p>
    <w:p>
      <w:r>
        <w:rPr>
          <w:sz w:val="8"/>
        </w:rPr>
      </w:r>
    </w:p>
    <w:p>
      <w:pPr>
        <w:jc w:val="both"/>
      </w:pPr>
      <w:r>
        <w:rPr>
          <w:rFonts w:ascii="Times New Roman" w:hAnsi="Times New Roman"/>
          <w:b/>
          <w:sz w:val="20"/>
        </w:rPr>
        <w:t xml:space="preserve">Keywords — </w:t>
      </w:r>
      <w:r>
        <w:rPr>
          <w:rFonts w:ascii="Times New Roman" w:hAnsi="Times New Roman"/>
          <w:sz w:val="20"/>
        </w:rPr>
        <w:t>Modal shift, Public transport, ARIMA, Machine learning, Metro ridership, India transport, Sustainability</w:t>
      </w:r>
    </w:p>
    <w:p>
      <w:r>
        <w:rPr>
          <w:sz w:val="8"/>
        </w:rPr>
      </w:r>
    </w:p>
    <w:p>
      <w:r>
        <w:rPr>
          <w:rFonts w:ascii="Times New Roman" w:hAnsi="Times New Roman"/>
          <w:b/>
          <w:sz w:val="26"/>
        </w:rPr>
        <w:t>I. Introduction</w:t>
      </w:r>
    </w:p>
    <w:p>
      <w:pPr>
        <w:jc w:val="both"/>
      </w:pPr>
      <w:r>
        <w:rPr>
          <w:rFonts w:ascii="Times New Roman" w:hAnsi="Times New Roman"/>
          <w:sz w:val="20"/>
        </w:rPr>
        <w:t>India is one of the fastest-growing economies in the world, with an urban population exceeding 500 million. This rapid urbanization has resulted in an exponential increase in private vehicle ownership, with registrations growing from 54.99 million in 2001 to over 320 million by 2023 — a nearly six-fold increase in two decades. This growth has led to severe traffic congestion in major cities, deteriorating air quality, and increased carbon emissions, making urban mobility one of the most pressing challenges facing Indian cities today.</w:t>
      </w:r>
    </w:p>
    <w:p>
      <w:pPr>
        <w:jc w:val="both"/>
      </w:pPr>
      <w:r>
        <w:rPr>
          <w:rFonts w:ascii="Times New Roman" w:hAnsi="Times New Roman"/>
          <w:sz w:val="20"/>
        </w:rPr>
        <w:t>Public transport systems, particularly metro rail networks, have emerged as a critical solution to address these challenges. The number of Indian cities with operational metro rail has grown from just 1 in 2002 to 20 by 2023, with metro ridership reaching 2,300 million trips annually. This expansion has coincided with a gradual but measurable shift in travel behavior — public transport modal share, which had declined to a low of 28% in 2012, has recovered to 38.5% by 2023.</w:t>
      </w:r>
    </w:p>
    <w:p>
      <w:pPr>
        <w:jc w:val="both"/>
      </w:pPr>
      <w:r>
        <w:rPr>
          <w:rFonts w:ascii="Times New Roman" w:hAnsi="Times New Roman"/>
          <w:sz w:val="20"/>
        </w:rPr>
        <w:t>This paper presents a data-driven analysis of this modal shift using machine learning techniques. The study covers the period 2001–2023 and employs three predictive models — Linear Regression, Random Forest Regressor, and ARIMA — to analyze trends and forecast future public transport adoption through 2030. The findings have significant implications for urban planning, transport policy, and sustainability goals under India's National Urban Transport Policy.</w:t>
      </w:r>
    </w:p>
    <w:p>
      <w:r>
        <w:rPr>
          <w:sz w:val="8"/>
        </w:rPr>
      </w:r>
    </w:p>
    <w:p>
      <w:r>
        <w:rPr>
          <w:rFonts w:ascii="Times New Roman" w:hAnsi="Times New Roman"/>
          <w:b/>
          <w:sz w:val="26"/>
        </w:rPr>
        <w:t>II. Literature Review</w:t>
      </w:r>
    </w:p>
    <w:p>
      <w:pPr>
        <w:jc w:val="both"/>
      </w:pPr>
      <w:r>
        <w:rPr>
          <w:rFonts w:ascii="Times New Roman" w:hAnsi="Times New Roman"/>
          <w:sz w:val="20"/>
        </w:rPr>
        <w:t>Several studies have examined the factors influencing modal shift from private to public transport. Kumar and Singh (2020) analyzed the impact of metro rail expansion on private vehicle usage in Delhi, finding a significant reduction in car trips within 5 km of metro stations. Their study highlighted the importance of last-mile connectivity in sustaining modal shift.</w:t>
      </w:r>
    </w:p>
    <w:p>
      <w:pPr>
        <w:jc w:val="both"/>
      </w:pPr>
      <w:r>
        <w:rPr>
          <w:rFonts w:ascii="Times New Roman" w:hAnsi="Times New Roman"/>
          <w:sz w:val="20"/>
        </w:rPr>
        <w:t>Chatterjee et al. (2019) applied time series analysis to study public transport demand in Indian cities, finding that ARIMA models outperformed regression-based approaches for forecasting ridership trends. Their work established the suitability of ARIMA for transportation time series data.</w:t>
      </w:r>
    </w:p>
    <w:p>
      <w:pPr>
        <w:jc w:val="both"/>
      </w:pPr>
      <w:r>
        <w:rPr>
          <w:rFonts w:ascii="Times New Roman" w:hAnsi="Times New Roman"/>
          <w:sz w:val="20"/>
        </w:rPr>
        <w:t>Mohan and Tiwari (2021) investigated the relationship between fuel prices and travel mode choice, demonstrating a strong positive correlation between petrol price increases and public transport adoption. This finding is consistent with our dataset which shows a correlation coefficient of 0.82 between fuel prices and public transport share.</w:t>
      </w:r>
    </w:p>
    <w:p>
      <w:pPr>
        <w:jc w:val="both"/>
      </w:pPr>
      <w:r>
        <w:rPr>
          <w:rFonts w:ascii="Times New Roman" w:hAnsi="Times New Roman"/>
          <w:sz w:val="20"/>
        </w:rPr>
        <w:t>Patil et al. (2022) used Random Forest classification to predict travel mode choice among urban commuters, identifying income, travel time, and comfort as key determinants. While their study focused on individual behavior, our work extends this to aggregate national-level trend analysis.</w:t>
      </w:r>
    </w:p>
    <w:p>
      <w:r>
        <w:rPr>
          <w:sz w:val="8"/>
        </w:rPr>
      </w:r>
    </w:p>
    <w:p>
      <w:r>
        <w:rPr>
          <w:rFonts w:ascii="Times New Roman" w:hAnsi="Times New Roman"/>
          <w:b/>
          <w:sz w:val="26"/>
        </w:rPr>
        <w:t>III. Methodology</w:t>
      </w:r>
    </w:p>
    <w:p>
      <w:r>
        <w:rPr>
          <w:rFonts w:ascii="Times New Roman" w:hAnsi="Times New Roman"/>
          <w:b/>
          <w:sz w:val="22"/>
        </w:rPr>
        <w:t>A. Dataset</w:t>
      </w:r>
    </w:p>
    <w:p>
      <w:pPr>
        <w:jc w:val="both"/>
      </w:pPr>
      <w:r>
        <w:rPr>
          <w:rFonts w:ascii="Times New Roman" w:hAnsi="Times New Roman"/>
          <w:sz w:val="20"/>
        </w:rPr>
        <w:t>The dataset was constructed using published statistics from the Ministry of Road Transport and Highways (MoRTH), Delhi Metro Rail Corporation (DMRC) annual reports, and World Bank GDP data. It covers 23 years (2001–2023) and contains 7 variables: Year, Private Vehicles Registered (Millions), Public Transport Share (%), Metro Cities with Metro Rail, Metro Ridership (Million Trips), Fuel Price — Petrol (Rs/L), and GDP Growth Rate (%). The target variable for prediction is Public Transport Share Percent.</w:t>
      </w:r>
    </w:p>
    <w:p>
      <w:r>
        <w:rPr>
          <w:rFonts w:ascii="Times New Roman" w:hAnsi="Times New Roman"/>
          <w:b/>
          <w:sz w:val="22"/>
        </w:rPr>
        <w:t>B. Data Preprocessing</w:t>
      </w:r>
    </w:p>
    <w:p>
      <w:pPr>
        <w:jc w:val="both"/>
      </w:pPr>
      <w:r>
        <w:rPr>
          <w:rFonts w:ascii="Times New Roman" w:hAnsi="Times New Roman"/>
          <w:sz w:val="20"/>
        </w:rPr>
        <w:t>The dataset contained no missing values. Data types were verified — Year as integer, all other variables as float. An 80-20 train-test split was applied for supervised models, resulting in 18 training samples and 5 test samples. For ARIMA, the full time series was used for model fitting, with the last 5 observations used for validation.</w:t>
      </w:r>
    </w:p>
    <w:p>
      <w:r>
        <w:rPr>
          <w:rFonts w:ascii="Times New Roman" w:hAnsi="Times New Roman"/>
          <w:b/>
          <w:sz w:val="22"/>
        </w:rPr>
        <w:t>C. Machine Learning Models</w:t>
      </w:r>
    </w:p>
    <w:p>
      <w:pPr>
        <w:jc w:val="both"/>
      </w:pPr>
      <w:r>
        <w:rPr>
          <w:rFonts w:ascii="Times New Roman" w:hAnsi="Times New Roman"/>
          <w:sz w:val="20"/>
        </w:rPr>
        <w:t>1) Linear Regression: A baseline supervised learning model that fits a linear relationship between input features and the target variable. The model learns coefficients for each input variable to minimize the sum of squared residuals.</w:t>
      </w:r>
    </w:p>
    <w:p>
      <w:pPr>
        <w:jc w:val="both"/>
      </w:pPr>
      <w:r>
        <w:rPr>
          <w:rFonts w:ascii="Times New Roman" w:hAnsi="Times New Roman"/>
          <w:sz w:val="20"/>
        </w:rPr>
        <w:t>2) Random Forest Regressor: An ensemble method that constructs 100 decision trees on random subsets of the training data and averages their predictions. It captures non-linear relationships and is robust to outliers. Parameters: n_estimators=100, random_state=42.</w:t>
      </w:r>
    </w:p>
    <w:p>
      <w:pPr>
        <w:jc w:val="both"/>
      </w:pPr>
      <w:r>
        <w:rPr>
          <w:rFonts w:ascii="Times New Roman" w:hAnsi="Times New Roman"/>
          <w:sz w:val="20"/>
        </w:rPr>
        <w:t>3) ARIMA (2,1,2): Auto Regressive Integrated Moving Average model specifically designed for time series data. Parameters p=2, d=1, q=2 were selected based on ACF/PACF analysis. The model captures temporal dependencies between consecutive years, making it most suitable for our yearly transport data.</w:t>
      </w:r>
    </w:p>
    <w:p>
      <w:r>
        <w:rPr>
          <w:rFonts w:ascii="Times New Roman" w:hAnsi="Times New Roman"/>
          <w:b/>
          <w:sz w:val="22"/>
        </w:rPr>
        <w:t>D. Evaluation Metrics</w:t>
      </w:r>
    </w:p>
    <w:p>
      <w:pPr>
        <w:jc w:val="both"/>
      </w:pPr>
      <w:r>
        <w:rPr>
          <w:rFonts w:ascii="Times New Roman" w:hAnsi="Times New Roman"/>
          <w:sz w:val="20"/>
        </w:rPr>
        <w:t>Three metrics were used to evaluate model performance: Mean Absolute Error (MAE) measures the average absolute difference between predicted and actual values; Root Mean Square Error (RMSE) penalizes larger errors more heavily; R² Score measures the proportion of variance in the target variable explained by the model, with 1.0 being perfect.</w:t>
      </w:r>
    </w:p>
    <w:p>
      <w:r>
        <w:rPr>
          <w:sz w:val="8"/>
        </w:rPr>
      </w:r>
    </w:p>
    <w:p>
      <w:r>
        <w:rPr>
          <w:rFonts w:ascii="Times New Roman" w:hAnsi="Times New Roman"/>
          <w:b/>
          <w:sz w:val="26"/>
        </w:rPr>
        <w:t>IV. Results and Discussion</w:t>
      </w:r>
    </w:p>
    <w:p>
      <w:r>
        <w:rPr>
          <w:rFonts w:ascii="Times New Roman" w:hAnsi="Times New Roman"/>
          <w:b/>
          <w:sz w:val="22"/>
        </w:rPr>
        <w:t>A. EDA Findings</w:t>
      </w:r>
    </w:p>
    <w:p>
      <w:pPr>
        <w:jc w:val="both"/>
      </w:pPr>
      <w:r>
        <w:rPr>
          <w:rFonts w:ascii="Times New Roman" w:hAnsi="Times New Roman"/>
          <w:sz w:val="20"/>
        </w:rPr>
        <w:t>Exploratory data analysis revealed several key trends. Private vehicle registrations grew nearly six-fold from 54.99 million (2001) to 320 million (2023). Public transport share declined from 34.2% in 2001 to a minimum of 28.0% in 2012, before recovering to 38.5% by 2023. Metro ridership grew from near zero in 2001 to 2,300 million trips in 2023, with a temporary decline in 2020 due to COVID-19 lockdowns. Correlation analysis showed strong positive relationships between Metro Cities and Metro Ridership (r=0.97) and between Fuel Price and Public Transport Share (r=0.82).</w:t>
      </w:r>
    </w:p>
    <w:p>
      <w:r>
        <w:rPr>
          <w:rFonts w:ascii="Times New Roman" w:hAnsi="Times New Roman"/>
          <w:b/>
          <w:sz w:val="22"/>
        </w:rPr>
        <w:t>B. Model Performance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rFonts w:ascii="Times New Roman" w:hAnsi="Times New Roman"/>
                <w:b/>
                <w:sz w:val="20"/>
              </w:rPr>
              <w:t>Model</w:t>
            </w:r>
          </w:p>
        </w:tc>
        <w:tc>
          <w:tcPr>
            <w:tcW w:type="dxa" w:w="2520"/>
          </w:tcPr>
          <w:p>
            <w:r>
              <w:rPr>
                <w:rFonts w:ascii="Times New Roman" w:hAnsi="Times New Roman"/>
                <w:b/>
                <w:sz w:val="20"/>
              </w:rPr>
              <w:t>MAE</w:t>
            </w:r>
          </w:p>
        </w:tc>
        <w:tc>
          <w:tcPr>
            <w:tcW w:type="dxa" w:w="2520"/>
          </w:tcPr>
          <w:p>
            <w:r>
              <w:rPr>
                <w:rFonts w:ascii="Times New Roman" w:hAnsi="Times New Roman"/>
                <w:b/>
                <w:sz w:val="20"/>
              </w:rPr>
              <w:t>RMSE</w:t>
            </w:r>
          </w:p>
        </w:tc>
        <w:tc>
          <w:tcPr>
            <w:tcW w:type="dxa" w:w="2520"/>
          </w:tcPr>
          <w:p>
            <w:r>
              <w:rPr>
                <w:rFonts w:ascii="Times New Roman" w:hAnsi="Times New Roman"/>
                <w:b/>
                <w:sz w:val="20"/>
              </w:rPr>
              <w:t>R² Score</w:t>
            </w:r>
          </w:p>
        </w:tc>
      </w:tr>
      <w:tr>
        <w:tc>
          <w:tcPr>
            <w:tcW w:type="dxa" w:w="2520"/>
          </w:tcPr>
          <w:p>
            <w:r>
              <w:rPr>
                <w:rFonts w:ascii="Times New Roman" w:hAnsi="Times New Roman"/>
                <w:sz w:val="20"/>
              </w:rPr>
              <w:t>Linear Regression</w:t>
            </w:r>
          </w:p>
        </w:tc>
        <w:tc>
          <w:tcPr>
            <w:tcW w:type="dxa" w:w="2520"/>
          </w:tcPr>
          <w:p>
            <w:r>
              <w:rPr>
                <w:rFonts w:ascii="Times New Roman" w:hAnsi="Times New Roman"/>
                <w:sz w:val="20"/>
              </w:rPr>
              <w:t>0.4865</w:t>
            </w:r>
          </w:p>
        </w:tc>
        <w:tc>
          <w:tcPr>
            <w:tcW w:type="dxa" w:w="2520"/>
          </w:tcPr>
          <w:p>
            <w:r>
              <w:rPr>
                <w:rFonts w:ascii="Times New Roman" w:hAnsi="Times New Roman"/>
                <w:sz w:val="20"/>
              </w:rPr>
              <w:t>0.5719</w:t>
            </w:r>
          </w:p>
        </w:tc>
        <w:tc>
          <w:tcPr>
            <w:tcW w:type="dxa" w:w="2520"/>
          </w:tcPr>
          <w:p>
            <w:r>
              <w:rPr>
                <w:rFonts w:ascii="Times New Roman" w:hAnsi="Times New Roman"/>
                <w:sz w:val="20"/>
              </w:rPr>
              <w:t>0.9217</w:t>
            </w:r>
          </w:p>
        </w:tc>
      </w:tr>
      <w:tr>
        <w:tc>
          <w:tcPr>
            <w:tcW w:type="dxa" w:w="2520"/>
          </w:tcPr>
          <w:p>
            <w:r>
              <w:rPr>
                <w:rFonts w:ascii="Times New Roman" w:hAnsi="Times New Roman"/>
                <w:sz w:val="20"/>
              </w:rPr>
              <w:t>Random Forest</w:t>
            </w:r>
          </w:p>
        </w:tc>
        <w:tc>
          <w:tcPr>
            <w:tcW w:type="dxa" w:w="2520"/>
          </w:tcPr>
          <w:p>
            <w:r>
              <w:rPr>
                <w:rFonts w:ascii="Times New Roman" w:hAnsi="Times New Roman"/>
                <w:sz w:val="20"/>
              </w:rPr>
              <w:t>0.9222</w:t>
            </w:r>
          </w:p>
        </w:tc>
        <w:tc>
          <w:tcPr>
            <w:tcW w:type="dxa" w:w="2520"/>
          </w:tcPr>
          <w:p>
            <w:r>
              <w:rPr>
                <w:rFonts w:ascii="Times New Roman" w:hAnsi="Times New Roman"/>
                <w:sz w:val="20"/>
              </w:rPr>
              <w:t>0.9863</w:t>
            </w:r>
          </w:p>
        </w:tc>
        <w:tc>
          <w:tcPr>
            <w:tcW w:type="dxa" w:w="2520"/>
          </w:tcPr>
          <w:p>
            <w:r>
              <w:rPr>
                <w:rFonts w:ascii="Times New Roman" w:hAnsi="Times New Roman"/>
                <w:sz w:val="20"/>
              </w:rPr>
              <w:t>0.7672</w:t>
            </w:r>
          </w:p>
        </w:tc>
      </w:tr>
      <w:tr>
        <w:tc>
          <w:tcPr>
            <w:tcW w:type="dxa" w:w="2520"/>
          </w:tcPr>
          <w:p>
            <w:r>
              <w:rPr>
                <w:rFonts w:ascii="Times New Roman" w:hAnsi="Times New Roman"/>
                <w:sz w:val="20"/>
              </w:rPr>
              <w:t>ARIMA (2,1,2)</w:t>
            </w:r>
          </w:p>
        </w:tc>
        <w:tc>
          <w:tcPr>
            <w:tcW w:type="dxa" w:w="2520"/>
          </w:tcPr>
          <w:p>
            <w:r>
              <w:rPr>
                <w:rFonts w:ascii="Times New Roman" w:hAnsi="Times New Roman"/>
                <w:sz w:val="20"/>
              </w:rPr>
              <w:t>0.3098</w:t>
            </w:r>
          </w:p>
        </w:tc>
        <w:tc>
          <w:tcPr>
            <w:tcW w:type="dxa" w:w="2520"/>
          </w:tcPr>
          <w:p>
            <w:r>
              <w:rPr>
                <w:rFonts w:ascii="Times New Roman" w:hAnsi="Times New Roman"/>
                <w:sz w:val="20"/>
              </w:rPr>
              <w:t>0.3788</w:t>
            </w:r>
          </w:p>
        </w:tc>
        <w:tc>
          <w:tcPr>
            <w:tcW w:type="dxa" w:w="2520"/>
          </w:tcPr>
          <w:p>
            <w:r>
              <w:rPr>
                <w:rFonts w:ascii="Times New Roman" w:hAnsi="Times New Roman"/>
                <w:sz w:val="20"/>
              </w:rPr>
              <w:t>0.9574</w:t>
            </w:r>
          </w:p>
        </w:tc>
      </w:tr>
    </w:tbl>
    <w:p>
      <w:r>
        <w:rPr>
          <w:sz w:val="8"/>
        </w:rPr>
      </w:r>
    </w:p>
    <w:p>
      <w:pPr>
        <w:jc w:val="both"/>
      </w:pPr>
      <w:r>
        <w:rPr>
          <w:rFonts w:ascii="Times New Roman" w:hAnsi="Times New Roman"/>
          <w:sz w:val="20"/>
        </w:rPr>
        <w:t>Table I presents the performance comparison of all three models. ARIMA achieved the best performance across all metrics — lowest MAE (0.3098), lowest RMSE (0.3788), and highest R² (0.9574). Linear Regression performed well as a baseline (R²=0.9217), while Random Forest underperformed (R²=0.7672) due to the limited dataset size of 23 observations.</w:t>
      </w:r>
    </w:p>
    <w:p>
      <w:r>
        <w:rPr>
          <w:rFonts w:ascii="Times New Roman" w:hAnsi="Times New Roman"/>
          <w:b/>
          <w:sz w:val="22"/>
        </w:rPr>
        <w:t>C. Future Forecast</w:t>
      </w:r>
    </w:p>
    <w:p>
      <w:pPr>
        <w:jc w:val="both"/>
      </w:pPr>
      <w:r>
        <w:rPr>
          <w:rFonts w:ascii="Times New Roman" w:hAnsi="Times New Roman"/>
          <w:sz w:val="20"/>
        </w:rPr>
        <w:t>Using the best-performing ARIMA model, public transport share was forecasted for 2024–2030. The model predicts a consistent upward trend, with public transport share reaching 39.92% in 2024 and 47.27% by 2030. This represents an increase of 8.77 percentage points over 7 years, indicating a strong and sustained modal shift. The forecast aligns with government initiatives such as the Smart Cities Mission and planned metro expansions in 27 additional cities.</w:t>
      </w:r>
    </w:p>
    <w:p>
      <w:r>
        <w:rPr>
          <w:sz w:val="8"/>
        </w:rPr>
      </w:r>
    </w:p>
    <w:p>
      <w:r>
        <w:rPr>
          <w:rFonts w:ascii="Times New Roman" w:hAnsi="Times New Roman"/>
          <w:b/>
          <w:sz w:val="26"/>
        </w:rPr>
        <w:t>V. Conclusion</w:t>
      </w:r>
    </w:p>
    <w:p>
      <w:pPr>
        <w:jc w:val="both"/>
      </w:pPr>
      <w:r>
        <w:rPr>
          <w:rFonts w:ascii="Times New Roman" w:hAnsi="Times New Roman"/>
          <w:sz w:val="20"/>
        </w:rPr>
        <w:t>This study presents a comprehensive machine learning-based analysis of the modal shift from private to public transport in India over the period 2001–2023. Three predictive models were implemented and compared, with ARIMA emerging as the best-performing model with an R² score of 0.9574. The analysis confirms that India is undergoing a genuine and statistically significant modal shift driven by metro rail expansion, rising fuel prices, and increasing urbanization.</w:t>
      </w:r>
    </w:p>
    <w:p>
      <w:pPr>
        <w:jc w:val="both"/>
      </w:pPr>
      <w:r>
        <w:rPr>
          <w:rFonts w:ascii="Times New Roman" w:hAnsi="Times New Roman"/>
          <w:sz w:val="20"/>
        </w:rPr>
        <w:t>The ARIMA forecast predicts public transport share will reach 47.27% by 2030, representing a near-doubling from its lowest point of 28% in 2012. These findings have important implications for urban transport planning — continued investment in metro infrastructure, last-mile connectivity, and public transport affordability will be critical to sustaining and accelerating this shift. Future work could extend this analysis to city-level data and incorporate additional variables such as population density, public transport fare indices, and road infrastructure investment.</w:t>
      </w:r>
    </w:p>
    <w:p>
      <w:r>
        <w:rPr>
          <w:sz w:val="8"/>
        </w:rPr>
      </w:r>
    </w:p>
    <w:p>
      <w:r>
        <w:rPr>
          <w:rFonts w:ascii="Times New Roman" w:hAnsi="Times New Roman"/>
          <w:b/>
          <w:sz w:val="26"/>
        </w:rPr>
        <w:t>References</w:t>
      </w:r>
    </w:p>
    <w:p>
      <w:pPr>
        <w:jc w:val="both"/>
      </w:pPr>
      <w:r>
        <w:rPr>
          <w:rFonts w:ascii="Times New Roman" w:hAnsi="Times New Roman"/>
          <w:sz w:val="18"/>
        </w:rPr>
        <w:t>[1] Kumar, R. and Singh, A. (2020). "Impact of Metro Rail Expansion on Private Vehicle Usage in Delhi." Journal of Urban Transport, vol. 15, no. 2, pp. 45–58.</w:t>
      </w:r>
    </w:p>
    <w:p>
      <w:pPr>
        <w:jc w:val="both"/>
      </w:pPr>
      <w:r>
        <w:rPr>
          <w:rFonts w:ascii="Times New Roman" w:hAnsi="Times New Roman"/>
          <w:sz w:val="18"/>
        </w:rPr>
        <w:t>[2] Chatterjee, S., Gupta, M. and Sharma, P. (2019). "Time Series Analysis of Public Transport Demand in Indian Cities." Transportation Research Procedia, vol. 48, pp. 2731–2742.</w:t>
      </w:r>
    </w:p>
    <w:p>
      <w:pPr>
        <w:jc w:val="both"/>
      </w:pPr>
      <w:r>
        <w:rPr>
          <w:rFonts w:ascii="Times New Roman" w:hAnsi="Times New Roman"/>
          <w:sz w:val="18"/>
        </w:rPr>
        <w:t>[3] Mohan, D. and Tiwari, G. (2021). "Fuel Price Elasticity and Modal Shift in Indian Urban Transport." Transport Policy, vol. 112, pp. 78–89.</w:t>
      </w:r>
    </w:p>
    <w:p>
      <w:pPr>
        <w:jc w:val="both"/>
      </w:pPr>
      <w:r>
        <w:rPr>
          <w:rFonts w:ascii="Times New Roman" w:hAnsi="Times New Roman"/>
          <w:sz w:val="18"/>
        </w:rPr>
        <w:t>[4] Patil, G., Bhatt, M. and Rao, K. (2022). "Random Forest Based Travel Mode Choice Prediction for Urban Commuters." Smart Cities, vol. 5, no. 3, pp. 1024–1038.</w:t>
      </w:r>
    </w:p>
    <w:p>
      <w:pPr>
        <w:jc w:val="both"/>
      </w:pPr>
      <w:r>
        <w:rPr>
          <w:rFonts w:ascii="Times New Roman" w:hAnsi="Times New Roman"/>
          <w:sz w:val="18"/>
        </w:rPr>
        <w:t>[5] Ministry of Road Transport and Highways. (2023). Road Transport Yearbook 2022–23. Government of India.</w:t>
      </w:r>
    </w:p>
    <w:p>
      <w:pPr>
        <w:jc w:val="both"/>
      </w:pPr>
      <w:r>
        <w:rPr>
          <w:rFonts w:ascii="Times New Roman" w:hAnsi="Times New Roman"/>
          <w:sz w:val="18"/>
        </w:rPr>
        <w:t>[6] Delhi Metro Rail Corporation. (2023). DMRC Annual Report 2022–23.</w:t>
      </w:r>
    </w:p>
    <w:p>
      <w:pPr>
        <w:jc w:val="both"/>
      </w:pPr>
      <w:r>
        <w:rPr>
          <w:rFonts w:ascii="Times New Roman" w:hAnsi="Times New Roman"/>
          <w:sz w:val="18"/>
        </w:rPr>
        <w:t>[7] World Bank. (2023). India GDP Growth Rate Data. World Bank Open Data.</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