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8"/>
          <w:szCs w:val="48"/>
        </w:rPr>
        <w:t xml:space="preserve">Threshold-Secured, Hardware-Attested, Time-Locked Distribution of Confidential Examination Content</w:t>
      </w:r>
    </w:p>
    <w:p>
      <w:pPr>
        <w:spacing w:after="40"/>
        <w:jc w:val="center"/>
      </w:pPr>
      <w:r>
        <w:rPr>
          <w:rFonts w:ascii="Times New Roman" w:cs="Times New Roman" w:eastAsia="Times New Roman" w:hAnsi="Times New Roman"/>
          <w:sz w:val="22"/>
          <w:szCs w:val="22"/>
        </w:rPr>
        <w:t xml:space="preserve">[Author Name]¹, [Co-Author / Advisor Name]²</w:t>
      </w:r>
    </w:p>
    <w:p>
      <w:pPr>
        <w:spacing w:after="40"/>
        <w:jc w:val="center"/>
      </w:pPr>
      <w:r>
        <w:rPr>
          <w:rFonts w:ascii="Times New Roman" w:cs="Times New Roman" w:eastAsia="Times New Roman" w:hAnsi="Times New Roman"/>
          <w:sz w:val="22"/>
          <w:szCs w:val="22"/>
        </w:rPr>
        <w:t xml:space="preserve">¹[Your Department], [Your Institution], [City, India] — [your email]</w:t>
      </w:r>
    </w:p>
    <w:p>
      <w:pPr>
        <w:spacing w:after="40"/>
        <w:jc w:val="center"/>
      </w:pPr>
      <w:r>
        <w:rPr>
          <w:rFonts w:ascii="Times New Roman" w:cs="Times New Roman" w:eastAsia="Times New Roman" w:hAnsi="Times New Roman"/>
          <w:sz w:val="22"/>
          <w:szCs w:val="22"/>
        </w:rPr>
        <w:t xml:space="preserve">²[Advisor Department], [Institution], [City, India]</w:t>
      </w:r>
    </w:p>
    <w:p>
      <w:pPr>
        <w:sectPr>
          <w:type w:val="continuous"/>
          <w:pgSz w:w="12240" w:h="15840" w:orient="portrait"/>
          <w:pgMar w:top="1080" w:right="936" w:bottom="1440" w:left="936" w:header="708" w:footer="708" w:gutter="0"/>
          <w:pgNumType/>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Large-scale examination paper leaks are a recurring failure in India's national testing infrastructure: the 2024 NEET-UG paper leak led to Central Bureau of Investigation arrests and a Supreme Court challenge to the exam's integrity, and the exam was leaked again in 2026, forcing the National Testing Agency to cancel and re-administer NEET-UG for 2.27 million candidates after a guess paper circulating out of Sikar, Rajasthan overlapped the real paper on 120–140 questions, including one arrest of an NTA-appointed subject expert. The 2013 Vyapam scam in Madhya Pradesh shows the same failure mode is not new. In every documented case, the point of failure was not external network intrusion but an insider — a setter, a printer, a distribution handler, or, in 2026, an NTA-appointed subject expert — with legitimate access disclosing content before the exam window opened. We present a system that removes the technical capability for early disclosure rather than relying on trusting the people who hold it: exam content is encrypted at authoring time, its decryption key is split by threshold secret sharing across independent, mutually-distrusting stakeholders, each share is sealed to a hardware-attested device state, and release requires both a verifiable proof that time has genuinely elapsed and a passing hardware attestation, simultaneously. A cryptographic commitment to the paper is published before distribution, making later disputes over “is this the real paper” a checkable fact rather than testimony. We describe the full protocol, its threat model, and its resistance to eight adversarial scenarios including tampered platforms, replay, and early-access attempts, and discuss what is required to move from a working reference implementation to a real institutional deployment.</w:t>
      </w:r>
    </w:p>
    <w:p>
      <w:pPr>
        <w:spacing w:after="20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threshold secret sharing, trusted execution environment, remote attestation, verifiable delay function, time-lock encryption, examination integrity, insider threat</w:t>
      </w:r>
    </w:p>
    <w:p>
      <w:pPr>
        <w:spacing w:after="120" w:before="200"/>
        <w:jc w:val="center"/>
      </w:pPr>
      <w:r>
        <w:rPr>
          <w:rFonts w:ascii="Times New Roman" w:cs="Times New Roman" w:eastAsia="Times New Roman" w:hAnsi="Times New Roman"/>
          <w:b/>
          <w:bCs/>
          <w:color w:val="000000"/>
          <w:sz w:val="20"/>
          <w:szCs w:val="20"/>
        </w:rPr>
        <w:t xml:space="preserve">I. INTRODUCTION</w:t>
      </w:r>
    </w:p>
    <w:p>
      <w:pPr>
        <w:shd w:fill="FFF3B0" w:val="clear"/>
        <w:spacing w:after="100"/>
        <w:ind w:firstLine="260"/>
        <w:jc w:val="both"/>
      </w:pPr>
      <w:r>
        <w:rPr>
          <w:rFonts w:ascii="Times New Roman" w:cs="Times New Roman" w:eastAsia="Times New Roman" w:hAnsi="Times New Roman"/>
          <w:i/>
          <w:iCs/>
          <w:color w:val="7A5C00"/>
          <w:sz w:val="19"/>
          <w:szCs w:val="19"/>
        </w:rPr>
        <w:t xml:space="preserve">[PLACEHOLDER — expand to ~4-5 paragraphs: (1) motivating case studies with citations [1]-[3] (NEET-UG 2024, NEET-UG 2026, Vyapam 2013) restated in prose with the specific numbers; (2) the common failure mode across all three — insider access, not external hacking; (3) why standard encryption alone does not solve this (a single trusted key-holder is still a single point of institutional trust); (4) our contribution — stated as the 4 numbered items below; (5) paper roadmap.]</w:t>
      </w:r>
    </w:p>
    <w:p>
      <w:pPr>
        <w:spacing w:after="100"/>
        <w:ind w:firstLine="0"/>
        <w:jc w:val="both"/>
      </w:pPr>
      <w:r>
        <w:rPr>
          <w:rFonts w:ascii="Times New Roman" w:cs="Times New Roman" w:eastAsia="Times New Roman" w:hAnsi="Times New Roman"/>
          <w:i w:val="false"/>
          <w:iCs w:val="false"/>
          <w:sz w:val="19"/>
          <w:szCs w:val="19"/>
        </w:rPr>
        <w:t xml:space="preserve">Contributions of this work:</w:t>
      </w:r>
    </w:p>
    <w:p>
      <w:pPr>
        <w:spacing w:after="100"/>
        <w:ind w:firstLine="0"/>
        <w:jc w:val="both"/>
      </w:pPr>
      <w:r>
        <w:rPr>
          <w:rFonts w:ascii="Times New Roman" w:cs="Times New Roman" w:eastAsia="Times New Roman" w:hAnsi="Times New Roman"/>
          <w:i w:val="false"/>
          <w:iCs w:val="false"/>
          <w:sz w:val="19"/>
          <w:szCs w:val="19"/>
        </w:rPr>
        <w:t xml:space="preserve">1) A protocol combining threshold secret sharing, dual hardware attestation (TPM + TEE), and a verifiable-delay-function time-lock into a single AND-gated release condition, so that no subset smaller than the threshold, no untampered-but-early request, and no tampered-but-on-time request can produce the plaintext.</w:t>
      </w:r>
    </w:p>
    <w:p>
      <w:pPr>
        <w:spacing w:after="100"/>
        <w:ind w:firstLine="0"/>
        <w:jc w:val="both"/>
      </w:pPr>
      <w:r>
        <w:rPr>
          <w:rFonts w:ascii="Times New Roman" w:cs="Times New Roman" w:eastAsia="Times New Roman" w:hAnsi="Times New Roman"/>
          <w:i w:val="false"/>
          <w:iCs w:val="false"/>
          <w:sz w:val="19"/>
          <w:szCs w:val="19"/>
        </w:rPr>
        <w:t xml:space="preserve">2) An active tamper response (a “self-erasing” sealed share) that converts passive TPM sealing into a logged, recoverable event rather than a silent failure.</w:t>
      </w:r>
    </w:p>
    <w:p>
      <w:pPr>
        <w:spacing w:after="100"/>
        <w:ind w:firstLine="0"/>
        <w:jc w:val="both"/>
      </w:pPr>
      <w:r>
        <w:rPr>
          <w:rFonts w:ascii="Times New Roman" w:cs="Times New Roman" w:eastAsia="Times New Roman" w:hAnsi="Times New Roman"/>
          <w:i w:val="false"/>
          <w:iCs w:val="false"/>
          <w:sz w:val="19"/>
          <w:szCs w:val="19"/>
        </w:rPr>
        <w:t xml:space="preserve">3) A hash-chained, co-signed commitment ledger that makes post-incident verification of a leaked document a checkable cryptographic fact.</w:t>
      </w:r>
    </w:p>
    <w:p>
      <w:pPr>
        <w:spacing w:after="100"/>
        <w:ind w:firstLine="0"/>
        <w:jc w:val="both"/>
      </w:pPr>
      <w:r>
        <w:rPr>
          <w:rFonts w:ascii="Times New Roman" w:cs="Times New Roman" w:eastAsia="Times New Roman" w:hAnsi="Times New Roman"/>
          <w:i w:val="false"/>
          <w:iCs w:val="false"/>
          <w:sz w:val="19"/>
          <w:szCs w:val="19"/>
        </w:rPr>
        <w:t xml:space="preserve">4) A working reference implementation (Section V) exercised against eight adversarial scenarios mirroring the documented real-world failure modes.</w:t>
      </w:r>
    </w:p>
    <w:p>
      <w:pPr>
        <w:spacing w:after="120" w:before="200"/>
        <w:jc w:val="center"/>
      </w:pPr>
      <w:r>
        <w:rPr>
          <w:rFonts w:ascii="Times New Roman" w:cs="Times New Roman" w:eastAsia="Times New Roman" w:hAnsi="Times New Roman"/>
          <w:b/>
          <w:bCs/>
          <w:color w:val="000000"/>
          <w:sz w:val="20"/>
          <w:szCs w:val="20"/>
        </w:rPr>
        <w:t xml:space="preserve">II. RELATED WORK</w:t>
      </w:r>
    </w:p>
    <w:p>
      <w:pPr>
        <w:spacing w:after="80" w:before="160"/>
      </w:pPr>
      <w:r>
        <w:rPr>
          <w:rFonts w:ascii="Times New Roman" w:cs="Times New Roman" w:eastAsia="Times New Roman" w:hAnsi="Times New Roman"/>
          <w:b/>
          <w:bCs/>
          <w:i/>
          <w:iCs/>
          <w:sz w:val="19"/>
          <w:szCs w:val="19"/>
        </w:rPr>
        <w:t xml:space="preserve">Threshold cryptography.</w:t>
      </w:r>
    </w:p>
    <w:p>
      <w:pPr>
        <w:spacing w:after="100"/>
        <w:ind w:firstLine="260"/>
        <w:jc w:val="both"/>
      </w:pPr>
      <w:r>
        <w:rPr>
          <w:rFonts w:ascii="Times New Roman" w:cs="Times New Roman" w:eastAsia="Times New Roman" w:hAnsi="Times New Roman"/>
          <w:i w:val="false"/>
          <w:iCs w:val="false"/>
          <w:sz w:val="19"/>
          <w:szCs w:val="19"/>
        </w:rPr>
        <w:t xml:space="preserve">Shamir's (t,n) secret sharing [4] is the standard mechanism for splitting a secret so that no fewer than t of n shareholders can reconstruct it; we use it to ensure no single custodian — echoing the specific institutional-collusion failure documented in the Vyapam case [3] — can unilaterally produce the exam key.</w:t>
      </w:r>
    </w:p>
    <w:p>
      <w:pPr>
        <w:spacing w:after="80" w:before="160"/>
      </w:pPr>
      <w:r>
        <w:rPr>
          <w:rFonts w:ascii="Times New Roman" w:cs="Times New Roman" w:eastAsia="Times New Roman" w:hAnsi="Times New Roman"/>
          <w:b/>
          <w:bCs/>
          <w:i/>
          <w:iCs/>
          <w:sz w:val="19"/>
          <w:szCs w:val="19"/>
        </w:rPr>
        <w:t xml:space="preserve">Time-lock and timed-release cryptography.</w:t>
      </w:r>
    </w:p>
    <w:p>
      <w:pPr>
        <w:spacing w:after="100"/>
        <w:ind w:firstLine="260"/>
        <w:jc w:val="both"/>
      </w:pPr>
      <w:r>
        <w:rPr>
          <w:rFonts w:ascii="Times New Roman" w:cs="Times New Roman" w:eastAsia="Times New Roman" w:hAnsi="Times New Roman"/>
          <w:i w:val="false"/>
          <w:iCs w:val="false"/>
          <w:sz w:val="19"/>
          <w:szCs w:val="19"/>
        </w:rPr>
        <w:t xml:space="preserve">Rivest, Shamir, and Wagner [5] introduced time-lock puzzles based on forced-sequential computation. We use a Verifiable Delay Function in the same spirit — a proof of elapsed time that is expensive to compute but cheap to verify, and, critically, is not shortenable by parallel hardware — rather than a puzzle whose difficulty must be re-tuned as hardware improves.</w:t>
      </w:r>
    </w:p>
    <w:p>
      <w:pPr>
        <w:spacing w:after="80" w:before="160"/>
      </w:pPr>
      <w:r>
        <w:rPr>
          <w:rFonts w:ascii="Times New Roman" w:cs="Times New Roman" w:eastAsia="Times New Roman" w:hAnsi="Times New Roman"/>
          <w:b/>
          <w:bCs/>
          <w:i/>
          <w:iCs/>
          <w:sz w:val="19"/>
          <w:szCs w:val="19"/>
        </w:rPr>
        <w:t xml:space="preserve">Trusted execution and remote attestation.</w:t>
      </w:r>
    </w:p>
    <w:p>
      <w:pPr>
        <w:spacing w:after="100"/>
        <w:ind w:firstLine="260"/>
        <w:jc w:val="both"/>
      </w:pPr>
      <w:r>
        <w:rPr>
          <w:rFonts w:ascii="Times New Roman" w:cs="Times New Roman" w:eastAsia="Times New Roman" w:hAnsi="Times New Roman"/>
          <w:i w:val="false"/>
          <w:iCs w:val="false"/>
          <w:sz w:val="19"/>
          <w:szCs w:val="19"/>
        </w:rPr>
        <w:t xml:space="preserve">Sabt, Achemlal, and Bouabdallah [6] survey the distinction between what a TPM's boot-integrity attestation proves (what code booted) and what a TEE additionally protects (data confidentiality while code runs) — a distinction we rely on directly: our design uses both because they protect different points in the attack surface, not as substitutes for one another.</w:t>
      </w:r>
    </w:p>
    <w:p>
      <w:pPr>
        <w:spacing w:after="80" w:before="160"/>
      </w:pPr>
      <w:r>
        <w:rPr>
          <w:rFonts w:ascii="Times New Roman" w:cs="Times New Roman" w:eastAsia="Times New Roman" w:hAnsi="Times New Roman"/>
          <w:b/>
          <w:bCs/>
          <w:i/>
          <w:iCs/>
          <w:sz w:val="19"/>
          <w:szCs w:val="19"/>
        </w:rPr>
        <w:t xml:space="preserve">Prior exam/academic-integrity systems.</w:t>
      </w:r>
    </w:p>
    <w:p>
      <w:pPr>
        <w:spacing w:after="100"/>
        <w:ind w:firstLine="0"/>
        <w:jc w:val="both"/>
      </w:pPr>
      <w:r>
        <w:rPr>
          <w:rFonts w:ascii="Times New Roman" w:cs="Times New Roman" w:eastAsia="Times New Roman" w:hAnsi="Times New Roman"/>
          <w:i w:val="false"/>
          <w:iCs w:val="false"/>
          <w:sz w:val="19"/>
          <w:szCs w:val="19"/>
        </w:rPr>
        <w:t xml:space="preserve">largely address in-exam cheating detection — for example proctoring-time anomaly detection using classical ML/LSTM methods on candidate behavior during the exam session [7], [8]. This is a different problem from ours: those systems assume the paper's pre-exam confidentiality is already solved and focus on detecting misconduct once the exam is live. We are not aware of prior academic work addressing the pre-exam distribution-integrity problem with a threshold-cryptographic, hardware-attested protocol; this is the gap this paper addresses.</w:t>
      </w:r>
    </w:p>
    <w:p>
      <w:pPr>
        <w:shd w:fill="FFF3B0" w:val="clear"/>
        <w:spacing w:after="100"/>
        <w:ind w:firstLine="260"/>
        <w:jc w:val="both"/>
      </w:pPr>
      <w:r>
        <w:rPr>
          <w:rFonts w:ascii="Times New Roman" w:cs="Times New Roman" w:eastAsia="Times New Roman" w:hAnsi="Times New Roman"/>
          <w:i/>
          <w:iCs/>
          <w:color w:val="7A5C00"/>
          <w:sz w:val="19"/>
          <w:szCs w:val="19"/>
        </w:rPr>
        <w:t xml:space="preserve">[PLACEHOLDER: add 1-2 more citations if you find directly relevant prior systems work — search terms: “secure exam paper distribution protocol”, “trusted timed release cryptography exam”.]</w:t>
      </w:r>
    </w:p>
    <w:p>
      <w:pPr>
        <w:spacing w:after="120" w:before="200"/>
        <w:jc w:val="center"/>
      </w:pPr>
      <w:r>
        <w:rPr>
          <w:rFonts w:ascii="Times New Roman" w:cs="Times New Roman" w:eastAsia="Times New Roman" w:hAnsi="Times New Roman"/>
          <w:b/>
          <w:bCs/>
          <w:color w:val="000000"/>
          <w:sz w:val="20"/>
          <w:szCs w:val="20"/>
        </w:rPr>
        <w:t xml:space="preserve">III. THREAT MODEL</w:t>
      </w:r>
    </w:p>
    <w:p>
      <w:pPr>
        <w:spacing w:after="100"/>
        <w:ind w:firstLine="260"/>
        <w:jc w:val="both"/>
      </w:pPr>
      <w:r>
        <w:rPr>
          <w:rFonts w:ascii="Times New Roman" w:cs="Times New Roman" w:eastAsia="Times New Roman" w:hAnsi="Times New Roman"/>
          <w:i w:val="false"/>
          <w:iCs w:val="false"/>
          <w:sz w:val="19"/>
          <w:szCs w:val="19"/>
        </w:rPr>
        <w:t xml:space="preserve">We assume the attacker already holds a legitimate role, device, and credentials at some point in the distribution chain — the system does not rely on keeping outsiders out; it removes the capability for an insider to produce plaintext early, even when willing to act against their role.</w:t>
      </w:r>
    </w:p>
    <w:p>
      <w:pPr>
        <w:sectPr>
          <w:type w:val="continuous"/>
          <w:pgSz w:w="12240" w:h="15840" w:orient="portrait"/>
          <w:pgMar w:top="1080" w:right="936" w:bottom="1440" w:left="936" w:header="708" w:footer="708" w:gutter="0"/>
          <w:pgNumType/>
          <w:cols w:space="288" w:num="2" w:equalWidth="true"/>
          <w:docGrid w:linePitch="360"/>
        </w:sectPr>
      </w:pPr>
    </w:p>
    <w:p>
      <w:pPr>
        <w:spacing w:after="60" w:before="120"/>
        <w:jc w:val="center"/>
      </w:pPr>
      <w:r>
        <w:rPr>
          <w:rFonts w:ascii="Times New Roman" w:cs="Times New Roman" w:eastAsia="Times New Roman" w:hAnsi="Times New Roman"/>
          <w:b/>
          <w:bCs/>
          <w:sz w:val="16"/>
          <w:szCs w:val="16"/>
        </w:rPr>
        <w:t xml:space="preserve">TABLE I.  THREAT ACTORS</w:t>
      </w:r>
    </w:p>
    <w:tbl>
      <w:tblPr>
        <w:tblW w:type="dxa" w:w="10368"/>
        <w:tblBorders>
          <w:top w:val="single" w:color="000000" w:sz="4"/>
          <w:left w:val="none"/>
          <w:bottom w:val="single" w:color="000000" w:sz="4"/>
          <w:right w:val="none"/>
          <w:insideH w:val="single" w:color="999999" w:sz="2"/>
          <w:insideV w:val="none"/>
        </w:tblBorders>
      </w:tblPr>
      <w:tblGrid>
        <w:gridCol w:w="3456"/>
        <w:gridCol w:w="3456"/>
        <w:gridCol w:w="3456"/>
      </w:tblGrid>
      <w:tr>
        <w:trPr>
          <w:tblHeader/>
        </w:trPr>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Actor</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Access level</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Motivation</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Paper setter / reviewer</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Sees plaintext during authoring, before packaging</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Bribery, coercion, ideology</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Printing press staff</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Handles encrypted copies before distribution</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Bribery, organized leak rings</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Distribution / logistics personnel</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Transports encrypted packets or devices to centers</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Bribery, opportunistic leak</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Exam center staff</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Holds device/key material immediately before exam start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Time-pressure leak (sell before window opens)</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External attacker</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 legitimate access</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Network/endpoint compromise, social engineering</w:t>
            </w:r>
          </w:p>
        </w:tc>
      </w:tr>
    </w:tbl>
    <w:p>
      <w:pPr>
        <w:sectPr>
          <w:type w:val="continuous"/>
          <w:pgSz w:w="12240" w:h="15840" w:orient="portrait"/>
          <w:pgMar w:top="1080" w:right="936" w:bottom="1440" w:left="936" w:header="708" w:footer="708" w:gutter="0"/>
          <w:pgNumType/>
          <w:cols w:num="1"/>
          <w:docGrid w:linePitch="360"/>
        </w:sectPr>
      </w:pPr>
    </w:p>
    <w:p>
      <w:pPr>
        <w:spacing w:after="100"/>
        <w:ind w:firstLine="260"/>
        <w:jc w:val="both"/>
      </w:pPr>
      <w:r>
        <w:rPr>
          <w:rFonts w:ascii="Times New Roman" w:cs="Times New Roman" w:eastAsia="Times New Roman" w:hAnsi="Times New Roman"/>
          <w:i w:val="false"/>
          <w:iCs w:val="false"/>
          <w:sz w:val="19"/>
          <w:szCs w:val="19"/>
        </w:rPr>
        <w:t xml:space="preserve">Out of scope: coercion of proctors after the exam window has legitimately opened (the paper is plaintext by design at that point); post-leak criminal investigation beyond what the audit trail and a parallel detection layer provide (described in a companion paper [9]); availability/denial-of-service attacks on distribution infrastructure.</w:t>
      </w:r>
    </w:p>
    <w:p>
      <w:pPr>
        <w:spacing w:after="120" w:before="200"/>
        <w:jc w:val="center"/>
      </w:pPr>
      <w:r>
        <w:rPr>
          <w:rFonts w:ascii="Times New Roman" w:cs="Times New Roman" w:eastAsia="Times New Roman" w:hAnsi="Times New Roman"/>
          <w:b/>
          <w:bCs/>
          <w:color w:val="000000"/>
          <w:sz w:val="20"/>
          <w:szCs w:val="20"/>
        </w:rPr>
        <w:t xml:space="preserve">IV. SYSTEM DESIGN</w:t>
      </w:r>
    </w:p>
    <w:p>
      <w:pPr>
        <w:spacing w:after="80" w:before="160"/>
      </w:pPr>
      <w:r>
        <w:rPr>
          <w:rFonts w:ascii="Times New Roman" w:cs="Times New Roman" w:eastAsia="Times New Roman" w:hAnsi="Times New Roman"/>
          <w:b/>
          <w:bCs/>
          <w:i/>
          <w:iCs/>
          <w:sz w:val="19"/>
          <w:szCs w:val="19"/>
        </w:rPr>
        <w:t xml:space="preserve">A. Cryptographic Layer</w:t>
      </w:r>
    </w:p>
    <w:p>
      <w:pPr>
        <w:spacing w:after="100"/>
        <w:ind w:firstLine="260"/>
        <w:jc w:val="both"/>
      </w:pPr>
      <w:r>
        <w:rPr>
          <w:rFonts w:ascii="Times New Roman" w:cs="Times New Roman" w:eastAsia="Times New Roman" w:hAnsi="Times New Roman"/>
          <w:i w:val="false"/>
          <w:iCs w:val="false"/>
          <w:sz w:val="19"/>
          <w:szCs w:val="19"/>
        </w:rPr>
        <w:t xml:space="preserve">The finalized paper is authored and encrypted on an air-gapped system; plaintext never touches a networked device before the exam window. Content is encrypted with AES-256-GCM, producing ciphertext, a nonce, and an authentication tag bound to metadata (paper ID, exam window start, center ID) — tampering with the ciphertext is detected, not merely prevented, because AES-GCM is authenticated encryption.</w:t>
      </w:r>
    </w:p>
    <w:p>
      <w:pPr>
        <w:spacing w:after="100"/>
        <w:ind w:firstLine="260"/>
        <w:jc w:val="both"/>
      </w:pPr>
      <w:r>
        <w:rPr>
          <w:rFonts w:ascii="Times New Roman" w:cs="Times New Roman" w:eastAsia="Times New Roman" w:hAnsi="Times New Roman"/>
          <w:i w:val="false"/>
          <w:iCs w:val="false"/>
          <w:sz w:val="19"/>
          <w:szCs w:val="19"/>
        </w:rPr>
        <w:t xml:space="preserve">The 256-bit AES content key is wrapped with ML-KEM (FIPS 203), NIST's finalized post-quantum key-encapsulation mechanism, rather than RSA or ECC. This is deliberate given the multi-year operational lifetime of exam infrastructure: classically-wrapped keys captured today remain vulnerable to harvest-now-decrypt-later attacks once cryptographically relevant quantum hardware matures.</w:t>
      </w:r>
    </w:p>
    <w:p>
      <w:pPr>
        <w:spacing w:after="100"/>
        <w:ind w:firstLine="260"/>
        <w:jc w:val="both"/>
      </w:pPr>
      <w:r>
        <w:rPr>
          <w:rFonts w:ascii="Times New Roman" w:cs="Times New Roman" w:eastAsia="Times New Roman" w:hAnsi="Times New Roman"/>
          <w:i w:val="false"/>
          <w:iCs w:val="false"/>
          <w:sz w:val="19"/>
          <w:szCs w:val="19"/>
        </w:rPr>
        <w:t xml:space="preserve">Before distribution begins, hash(paper) is published to an append-only, hash-chained, co-signed commitment ledger and timestamped. This reveals nothing about content; its purpose is purely post-incident verification — if a leaked document surfaces later, anyone can hash it and check it against the pre-committed value, turning “does this leaked paper match the real one” into a checkable fact rather than a matter of testimony.</w:t>
      </w:r>
    </w:p>
    <w:p>
      <w:pPr>
        <w:spacing w:after="80" w:before="160"/>
      </w:pPr>
      <w:r>
        <w:rPr>
          <w:rFonts w:ascii="Times New Roman" w:cs="Times New Roman" w:eastAsia="Times New Roman" w:hAnsi="Times New Roman"/>
          <w:b/>
          <w:bCs/>
          <w:i/>
          <w:iCs/>
          <w:sz w:val="19"/>
          <w:szCs w:val="19"/>
        </w:rPr>
        <w:t xml:space="preserve">B. Custody Layer</w:t>
      </w:r>
    </w:p>
    <w:p>
      <w:pPr>
        <w:spacing w:after="100"/>
        <w:ind w:firstLine="260"/>
        <w:jc w:val="both"/>
      </w:pPr>
      <w:r>
        <w:rPr>
          <w:rFonts w:ascii="Times New Roman" w:cs="Times New Roman" w:eastAsia="Times New Roman" w:hAnsi="Times New Roman"/>
          <w:i w:val="false"/>
          <w:iCs w:val="false"/>
          <w:sz w:val="19"/>
          <w:szCs w:val="19"/>
        </w:rPr>
        <w:t xml:space="preserve">The wrapped content key is not held by any single server or operator. It is split via threshold secret sharing [4] (t-of-n) across n independent, mutually-distrusting stakeholders — for example, a national testing body, a state exam authority, an independent audit body, and a custodian. Reconstructing the key requires shares from at least t of these n parties, directly targeting the documented institutional-collusion failure mode in Vyapam [3] and the 2026 NEET-UG leak, where an NTA-appointed subject expert was among those arrested.</w:t>
      </w:r>
    </w:p>
    <w:p>
      <w:pPr>
        <w:spacing w:after="100"/>
        <w:ind w:firstLine="260"/>
        <w:jc w:val="both"/>
      </w:pPr>
      <w:r>
        <w:rPr>
          <w:rFonts w:ascii="Times New Roman" w:cs="Times New Roman" w:eastAsia="Times New Roman" w:hAnsi="Times New Roman"/>
          <w:i w:val="false"/>
          <w:iCs w:val="false"/>
          <w:sz w:val="19"/>
          <w:szCs w:val="19"/>
        </w:rPr>
        <w:t xml:space="preserve">Each stakeholder's share is sealed to that stakeholder's own device state using two complementary hardware mechanisms. TPM 2.0 provides device identity and boot-integrity attestation: PCR values captured at boot prove the device is running an unmodified boot chain, and sealing means a share is unsealable only when current PCRs match the enrolled policy. A TEE (Intel TDX, AMD SEV-SNP, or ARM CCA) additionally protects decrypted key material while it is in use inside an isolated enclave, so that even root/administrator access to the host OS cannot dump memory to recover it. TPM proves what booted; TEE protects what runs — the two are used together because they cover different points in the attack surface [6].</w:t>
      </w:r>
    </w:p>
    <w:p>
      <w:pPr>
        <w:spacing w:after="100"/>
        <w:ind w:firstLine="260"/>
        <w:jc w:val="both"/>
      </w:pPr>
      <w:r>
        <w:rPr>
          <w:rFonts w:ascii="Times New Roman" w:cs="Times New Roman" w:eastAsia="Times New Roman" w:hAnsi="Times New Roman"/>
          <w:i w:val="false"/>
          <w:iCs w:val="false"/>
          <w:sz w:val="19"/>
          <w:szCs w:val="19"/>
        </w:rPr>
        <w:t xml:space="preserve">Rather than trusting any single server's clock to decide whether the exam window has opened, each stakeholder node independently computes a Verifiable Delay Function (VDF) proof [5] — a computation that is provably sequential and cheap to verify, anchored to the ledger's timestamped commitment as its reference point. A stakeholder node releases its share only when both the VDF proof confirms elapsed time and the node's own TPM+TEE attestation succeeds — an insider with valid credentials on a tampered device is refused by the attestation check even if time has elapsed; a request before the window opens is refused by the VDF check even from a fully legitimate, untampered device.</w:t>
      </w:r>
    </w:p>
    <w:p>
      <w:pPr>
        <w:spacing w:after="100"/>
        <w:ind w:firstLine="260"/>
        <w:jc w:val="both"/>
      </w:pPr>
      <w:r>
        <w:rPr>
          <w:rFonts w:ascii="Times New Roman" w:cs="Times New Roman" w:eastAsia="Times New Roman" w:hAnsi="Times New Roman"/>
          <w:i w:val="false"/>
          <w:iCs w:val="false"/>
          <w:sz w:val="19"/>
          <w:szCs w:val="19"/>
        </w:rPr>
        <w:t xml:space="preserve">At the exam center, t-of-n released shares are combined inside a TEE enclave — the reconstructed content key never exists in ordinary, unprotected memory at any point. Plaintext exists only from this moment onward, for the duration of the exam window.</w:t>
      </w:r>
    </w:p>
    <w:p>
      <w:pPr>
        <w:spacing w:after="100"/>
        <w:ind w:firstLine="260"/>
        <w:jc w:val="both"/>
      </w:pPr>
      <w:r>
        <w:rPr>
          <w:rFonts w:ascii="Times New Roman" w:cs="Times New Roman" w:eastAsia="Times New Roman" w:hAnsi="Times New Roman"/>
          <w:i w:val="false"/>
          <w:iCs w:val="false"/>
          <w:sz w:val="19"/>
          <w:szCs w:val="19"/>
        </w:rPr>
        <w:t xml:space="preserve">TPM sealing is passive by default: it refuses to unseal on a state mismatch, but does nothing further. We add an active response — after k failed attestation or unseal attempts, or a detected mid-session state drift, the locally sealed share is actively destroyed, and the node automatically triggers a fallback release through a secondary channel with fresh key material. Tampering becomes a logged event with a defined recovery path, not a silent, unresolved failure.</w:t>
      </w:r>
    </w:p>
    <w:p>
      <w:pPr>
        <w:spacing w:after="80" w:before="160"/>
      </w:pPr>
      <w:r>
        <w:rPr>
          <w:rFonts w:ascii="Times New Roman" w:cs="Times New Roman" w:eastAsia="Times New Roman" w:hAnsi="Times New Roman"/>
          <w:b/>
          <w:bCs/>
          <w:i/>
          <w:iCs/>
          <w:sz w:val="19"/>
          <w:szCs w:val="19"/>
        </w:rPr>
        <w:t xml:space="preserve">C. Parallel Detection Layer</w:t>
      </w:r>
    </w:p>
    <w:p>
      <w:pPr>
        <w:spacing w:after="100"/>
        <w:ind w:firstLine="260"/>
        <w:jc w:val="both"/>
      </w:pPr>
      <w:r>
        <w:rPr>
          <w:rFonts w:ascii="Times New Roman" w:cs="Times New Roman" w:eastAsia="Times New Roman" w:hAnsi="Times New Roman"/>
          <w:i w:val="false"/>
          <w:iCs w:val="false"/>
          <w:sz w:val="19"/>
          <w:szCs w:val="19"/>
        </w:rPr>
        <w:t xml:space="preserve">Independently of the custody chain above, a monitoring layer continuously scores public and semi-public channels against the same committed-paper hash for evidence of a leak in progress — matched message content, photographed pages, and anomalous propagation and account behavior, fused by a learned model. This runs whether or not the custody chain above is ever breached, and is described in full, including its evaluation on real question-paper text and real social-media propagation data, in a companion paper [9].</w:t>
      </w:r>
    </w:p>
    <w:p>
      <w:pPr>
        <w:spacing w:after="120" w:before="200"/>
        <w:jc w:val="center"/>
      </w:pPr>
      <w:r>
        <w:rPr>
          <w:rFonts w:ascii="Times New Roman" w:cs="Times New Roman" w:eastAsia="Times New Roman" w:hAnsi="Times New Roman"/>
          <w:b/>
          <w:bCs/>
          <w:color w:val="000000"/>
          <w:sz w:val="20"/>
          <w:szCs w:val="20"/>
        </w:rPr>
        <w:t xml:space="preserve">V. ATTACK-RESISTANCE EVALUATION</w:t>
      </w:r>
    </w:p>
    <w:p>
      <w:pPr>
        <w:spacing w:after="100"/>
        <w:ind w:firstLine="260"/>
        <w:jc w:val="both"/>
      </w:pPr>
      <w:r>
        <w:rPr>
          <w:rFonts w:ascii="Times New Roman" w:cs="Times New Roman" w:eastAsia="Times New Roman" w:hAnsi="Times New Roman"/>
          <w:i w:val="false"/>
          <w:iCs w:val="false"/>
          <w:sz w:val="19"/>
          <w:szCs w:val="19"/>
        </w:rPr>
        <w:t xml:space="preserve">We built a reference implementation of every component above (AES-256-GCM, ML-KEM key wrap, GF(2⁸) Shamir secret sharing, a hash-chained Ed25519 co-signed ledger, simulated TPM 2.0 and TEE interfaces implementing the standard seal/unseal/attest primitives, a Pietrzak-construction VDF, and the AND-gated conditional release) and exercised it against eight adversarial scenarios.</w:t>
      </w:r>
    </w:p>
    <w:p>
      <w:pPr>
        <w:sectPr>
          <w:type w:val="continuous"/>
          <w:pgSz w:w="12240" w:h="15840" w:orient="portrait"/>
          <w:pgMar w:top="1080" w:right="936" w:bottom="1440" w:left="936" w:header="708" w:footer="708" w:gutter="0"/>
          <w:pgNumType/>
          <w:cols w:space="288" w:num="2" w:equalWidth="true"/>
          <w:docGrid w:linePitch="360"/>
        </w:sectPr>
      </w:pPr>
    </w:p>
    <w:p>
      <w:pPr>
        <w:spacing w:after="60" w:before="120"/>
        <w:jc w:val="center"/>
      </w:pPr>
      <w:r>
        <w:rPr>
          <w:rFonts w:ascii="Times New Roman" w:cs="Times New Roman" w:eastAsia="Times New Roman" w:hAnsi="Times New Roman"/>
          <w:b/>
          <w:bCs/>
          <w:sz w:val="16"/>
          <w:szCs w:val="16"/>
        </w:rPr>
        <w:t xml:space="preserve">TABLE II.  ATTACK-RESISTANCE RESULTS</w:t>
      </w:r>
    </w:p>
    <w:tbl>
      <w:tblPr>
        <w:tblW w:type="dxa" w:w="10368"/>
        <w:tblBorders>
          <w:top w:val="single" w:color="000000" w:sz="4"/>
          <w:left w:val="none"/>
          <w:bottom w:val="single" w:color="000000" w:sz="4"/>
          <w:right w:val="none"/>
          <w:insideH w:val="single" w:color="999999" w:sz="2"/>
          <w:insideV w:val="none"/>
        </w:tblBorders>
      </w:tblPr>
      <w:tblGrid>
        <w:gridCol w:w="3456"/>
        <w:gridCol w:w="3456"/>
        <w:gridCol w:w="3456"/>
      </w:tblGrid>
      <w:tr>
        <w:trPr>
          <w:tblHeader/>
        </w:trPr>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Scenario</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Mechanism exercised</w:t>
            </w:r>
          </w:p>
        </w:tc>
        <w:tc>
          <w:tcPr>
            <w:tcW w:type="dxa" w:w="3456"/>
            <w:shd w:fill="D9D9D9" w:val="clear"/>
            <w:tcMar>
              <w:top w:type="dxa" w:w="40"/>
              <w:left w:type="dxa" w:w="60"/>
              <w:bottom w:type="dxa" w:w="40"/>
              <w:right w:type="dxa" w:w="60"/>
            </w:tcMar>
          </w:tcPr>
          <w:p>
            <w:pPr>
              <w:jc w:val="center"/>
            </w:pPr>
            <w:r>
              <w:rPr>
                <w:rFonts w:ascii="Times New Roman" w:cs="Times New Roman" w:eastAsia="Times New Roman" w:hAnsi="Times New Roman"/>
                <w:b/>
                <w:bCs/>
                <w:sz w:val="15"/>
                <w:szCs w:val="15"/>
              </w:rPr>
              <w:t xml:space="preserve">Result</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Early access attempt</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Request release before the window opens</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VDF proof fails; no node releases its share</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Unauthorized device</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Present attestation from a never-enrolled device/key</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Stakeholder verification fails; release refused</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Tampered platform</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Modified client binary changes measured PCR/TEE state</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TPM/TEE refuses to unseal even with a valid VDF proof and a valid request, demonstrating the AND condition</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Key extraction / replay</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Reuse a previously valid attestation or VDF proof</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Nonce/freshness checks reject the replay</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Repeated tamper attempts</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k failed attestations at one node</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Local share is actively destroyed; fallback channel triggers automatically</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Social-media leak</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Leak-pattern content appears on a monitored channel</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Detection-layer alert, independent of custody-chain state</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Photographed page</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Image of the physical paper circulates</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Detection-layer image-matching alert, catching what text monitoring alone would miss</w:t>
            </w:r>
          </w:p>
        </w:tc>
      </w:tr>
      <w:tr>
        <w:trPr>
          <w:tblHeader w:val="false"/>
        </w:trPr>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Post-incident dispute</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 leaked document surfaces after an exam</w:t>
            </w:r>
          </w:p>
        </w:tc>
        <w:tc>
          <w:tcPr>
            <w:tcW w:type="dxa" w:w="3456"/>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hash(leaked document) checked against the pre-committed ledger value: verifiable match/non-match</w:t>
            </w:r>
          </w:p>
        </w:tc>
      </w:tr>
    </w:tbl>
    <w:p>
      <w:pPr>
        <w:sectPr>
          <w:type w:val="continuous"/>
          <w:pgSz w:w="12240" w:h="15840" w:orient="portrait"/>
          <w:pgMar w:top="1080" w:right="936" w:bottom="1440" w:left="936" w:header="708" w:footer="708" w:gutter="0"/>
          <w:pgNumType/>
          <w:cols w:num="1"/>
          <w:docGrid w:linePitch="360"/>
        </w:sectPr>
      </w:pPr>
    </w:p>
    <w:p>
      <w:pPr>
        <w:shd w:fill="FFF3B0" w:val="clear"/>
        <w:spacing w:after="100"/>
        <w:ind w:firstLine="260"/>
        <w:jc w:val="both"/>
      </w:pPr>
      <w:r>
        <w:rPr>
          <w:rFonts w:ascii="Times New Roman" w:cs="Times New Roman" w:eastAsia="Times New Roman" w:hAnsi="Times New Roman"/>
          <w:i/>
          <w:iCs/>
          <w:color w:val="7A5C00"/>
          <w:sz w:val="19"/>
          <w:szCs w:val="19"/>
        </w:rPr>
        <w:t xml:space="preserve">All eight scenarios pass against the reference implementation. [PLACEHOLDER: state your actual run command/output reference, e.g. “python -m src.attacks.attack_harness, n=8/8 passing, see supplementary material” — confirm this against your own latest run before submitting.]</w:t>
      </w:r>
    </w:p>
    <w:p>
      <w:pPr>
        <w:spacing w:after="120" w:before="200"/>
        <w:jc w:val="center"/>
      </w:pPr>
      <w:r>
        <w:rPr>
          <w:rFonts w:ascii="Times New Roman" w:cs="Times New Roman" w:eastAsia="Times New Roman" w:hAnsi="Times New Roman"/>
          <w:b/>
          <w:bCs/>
          <w:color w:val="000000"/>
          <w:sz w:val="20"/>
          <w:szCs w:val="20"/>
        </w:rPr>
        <w:t xml:space="preserve">VI. DISCUSSION AND LIMITATIONS</w:t>
      </w:r>
    </w:p>
    <w:p>
      <w:pPr>
        <w:spacing w:after="100"/>
        <w:ind w:firstLine="260"/>
        <w:jc w:val="both"/>
      </w:pPr>
      <w:r>
        <w:rPr>
          <w:rFonts w:ascii="Times New Roman" w:cs="Times New Roman" w:eastAsia="Times New Roman" w:hAnsi="Times New Roman"/>
          <w:i w:val="false"/>
          <w:iCs w:val="false"/>
          <w:sz w:val="19"/>
          <w:szCs w:val="19"/>
        </w:rPr>
        <w:t xml:space="preserve">The threat model in Section III explicitly targets institutional collusion, not just external compromise, because that is what the case studies in Section I document. This has a direct consequence for the design: the protocol's guarantee is only as strong as the independence of its n stakeholders. If a single organization controls, appoints, or can coerce a majority of the threshold, the collusion resistance is nominal rather than real — the hard part of a real deployment is institutional, not cryptographic.</w:t>
      </w:r>
    </w:p>
    <w:p>
      <w:pPr>
        <w:spacing w:after="100"/>
        <w:ind w:firstLine="260"/>
        <w:jc w:val="both"/>
      </w:pPr>
      <w:r>
        <w:rPr>
          <w:rFonts w:ascii="Times New Roman" w:cs="Times New Roman" w:eastAsia="Times New Roman" w:hAnsi="Times New Roman"/>
          <w:i w:val="false"/>
          <w:iCs w:val="false"/>
          <w:sz w:val="19"/>
          <w:szCs w:val="19"/>
        </w:rPr>
        <w:t xml:space="preserve">We state the following limitations plainly rather than let them surface under questioning. Our TPM and TEE components are software models of the real interfaces (tpm2-tools/TSS2-style seal/unseal/quote semantics and a TEE enclave boundary), not hardware-backed implementations — a production deployment requires real TPM 2.0 and TEE-capable hardware, which is standard on most post-2016 business/education-grade devices but not universal, making a phased rollout more realistic than a simultaneous national deployment. Our VDF's RSA modulus has no multi-party trusted-setup ceremony; a production deployment needs one, or a class-group construction (e.g., chiavdf) that needs none. No patent has been filed on this design at the time of writing. No real institutional deployment exists — getting multiple genuinely independent, mutually-distrusting stakeholders to operate enrolled, attested infrastructure is a governance negotiation, not an engineering task, and is realistically the largest source of schedule risk in an actual rollout. Reliable connectivity to stakeholder nodes cannot be assumed at national exam-day scale at every center; an offline variant sealed to a local device's monotonic counter is the realistic field-mode default, with online release as the high-assurance path where connectivity exists. Finally, this system does not prevent leaks after the exam window has legitimately opened — the paper is necessarily plaintext from that point — and it does not replace personnel integrity vetting; it removes the technical opportunity for early leak, which is the documented common factor across the case studies in Section I, not the whole problem of exam security.</w:t>
      </w:r>
    </w:p>
    <w:p>
      <w:pPr>
        <w:spacing w:after="120" w:before="200"/>
        <w:jc w:val="center"/>
      </w:pPr>
      <w:r>
        <w:rPr>
          <w:rFonts w:ascii="Times New Roman" w:cs="Times New Roman" w:eastAsia="Times New Roman" w:hAnsi="Times New Roman"/>
          <w:b/>
          <w:bCs/>
          <w:color w:val="000000"/>
          <w:sz w:val="20"/>
          <w:szCs w:val="20"/>
        </w:rPr>
        <w:t xml:space="preserve">VII. ETHICAL CONSIDERATIONS</w:t>
      </w:r>
    </w:p>
    <w:p>
      <w:pPr>
        <w:spacing w:after="100"/>
        <w:ind w:firstLine="260"/>
        <w:jc w:val="both"/>
      </w:pPr>
      <w:r>
        <w:rPr>
          <w:rFonts w:ascii="Times New Roman" w:cs="Times New Roman" w:eastAsia="Times New Roman" w:hAnsi="Times New Roman"/>
          <w:i w:val="false"/>
          <w:iCs w:val="false"/>
          <w:sz w:val="19"/>
          <w:szCs w:val="19"/>
        </w:rPr>
        <w:t xml:space="preserve">The channel-monitoring component described in Section IV-C requires a defined legal and privacy framework before any field deployment — what is monitored, under what authorization, what is retained, and for how long — and we treat this as a policy prerequisite rather than a detail to defer.</w:t>
      </w:r>
    </w:p>
    <w:p>
      <w:pPr>
        <w:shd w:fill="FFF3B0" w:val="clear"/>
        <w:spacing w:after="100"/>
        <w:ind w:firstLine="260"/>
        <w:jc w:val="both"/>
      </w:pPr>
      <w:r>
        <w:rPr>
          <w:rFonts w:ascii="Times New Roman" w:cs="Times New Roman" w:eastAsia="Times New Roman" w:hAnsi="Times New Roman"/>
          <w:i/>
          <w:iCs/>
          <w:color w:val="7A5C00"/>
          <w:sz w:val="19"/>
          <w:szCs w:val="19"/>
        </w:rPr>
        <w:t xml:space="preserve">[PLACEHOLDER: add a sentence on responsible disclosure norms if you discuss real leak mechanics with named institutions, and confirm with your advisor whether an institutional/ethics review is expected for this class of work at your institution before submission.]</w:t>
      </w:r>
    </w:p>
    <w:p>
      <w:pPr>
        <w:spacing w:after="120" w:before="200"/>
        <w:jc w:val="center"/>
      </w:pPr>
      <w:r>
        <w:rPr>
          <w:rFonts w:ascii="Times New Roman" w:cs="Times New Roman" w:eastAsia="Times New Roman" w:hAnsi="Times New Roman"/>
          <w:b/>
          <w:bCs/>
          <w:color w:val="000000"/>
          <w:sz w:val="20"/>
          <w:szCs w:val="20"/>
        </w:rPr>
        <w:t xml:space="preserve">VIII. CONCLUSION</w:t>
      </w:r>
    </w:p>
    <w:p>
      <w:pPr>
        <w:shd w:fill="FFF3B0" w:val="clear"/>
        <w:spacing w:after="100"/>
        <w:ind w:firstLine="260"/>
        <w:jc w:val="both"/>
      </w:pPr>
      <w:r>
        <w:rPr>
          <w:rFonts w:ascii="Times New Roman" w:cs="Times New Roman" w:eastAsia="Times New Roman" w:hAnsi="Times New Roman"/>
          <w:i/>
          <w:iCs/>
          <w:color w:val="7A5C00"/>
          <w:sz w:val="19"/>
          <w:szCs w:val="19"/>
        </w:rPr>
        <w:t xml:space="preserve">[PLACEHOLDER — 1 paragraph: restate the core contribution (removing insider capability rather than trusting insiders), that all eight adversarial scenarios pass against a real reference implementation, and point to the companion paper [9] for the detection-layer results and to Section VI for what stands between this and a real deployment.]</w:t>
      </w:r>
    </w:p>
    <w:p>
      <w:pPr>
        <w:spacing w:after="120" w:before="200"/>
        <w:jc w:val="center"/>
      </w:pPr>
      <w:r>
        <w:rPr>
          <w:rFonts w:ascii="Times New Roman" w:cs="Times New Roman" w:eastAsia="Times New Roman" w:hAnsi="Times New Roman"/>
          <w:b/>
          <w:bCs/>
          <w:color w:val="000000"/>
          <w:sz w:val="20"/>
          <w:szCs w:val="20"/>
        </w:rPr>
        <w:t xml:space="preserve">REFERENCES</w:t>
      </w:r>
    </w:p>
    <w:p>
      <w:pPr>
        <w:spacing w:after="60"/>
        <w:ind w:left="260" w:hanging="260"/>
        <w:jc w:val="both"/>
      </w:pPr>
      <w:r>
        <w:rPr>
          <w:rFonts w:ascii="Times New Roman" w:cs="Times New Roman" w:eastAsia="Times New Roman" w:hAnsi="Times New Roman"/>
          <w:sz w:val="18"/>
          <w:szCs w:val="18"/>
        </w:rPr>
        <w:t xml:space="preserve">[1] “2024 NEET Controversy,” Wikipedia, 2024. [Online]. Available: https://en.wikipedia.org/wiki/2024_NEET_controversy</w:t>
      </w:r>
    </w:p>
    <w:p>
      <w:pPr>
        <w:spacing w:after="60"/>
        <w:ind w:left="260" w:hanging="260"/>
        <w:jc w:val="both"/>
      </w:pPr>
      <w:r>
        <w:rPr>
          <w:rFonts w:ascii="Times New Roman" w:cs="Times New Roman" w:eastAsia="Times New Roman" w:hAnsi="Times New Roman"/>
          <w:sz w:val="18"/>
          <w:szCs w:val="18"/>
        </w:rPr>
        <w:t xml:space="preserve">[2] “2026 NEET Controversy,” Wikipedia, 2026. [Online]. Available: https://en.wikipedia.org/wiki/2026_NEET_controversy</w:t>
      </w:r>
    </w:p>
    <w:p>
      <w:pPr>
        <w:spacing w:after="60"/>
        <w:ind w:left="260" w:hanging="260"/>
        <w:jc w:val="both"/>
      </w:pPr>
      <w:r>
        <w:rPr>
          <w:rFonts w:ascii="Times New Roman" w:cs="Times New Roman" w:eastAsia="Times New Roman" w:hAnsi="Times New Roman"/>
          <w:sz w:val="18"/>
          <w:szCs w:val="18"/>
        </w:rPr>
        <w:t xml:space="preserve">[3] “Vyapam Scam,” Wikipedia. [Online]. Available: https://en.wikipedia.org/wiki/Vyapam_scam</w:t>
      </w:r>
    </w:p>
    <w:p>
      <w:pPr>
        <w:spacing w:after="60"/>
        <w:ind w:left="260" w:hanging="260"/>
        <w:jc w:val="both"/>
      </w:pPr>
      <w:r>
        <w:rPr>
          <w:rFonts w:ascii="Times New Roman" w:cs="Times New Roman" w:eastAsia="Times New Roman" w:hAnsi="Times New Roman"/>
          <w:sz w:val="18"/>
          <w:szCs w:val="18"/>
        </w:rPr>
        <w:t xml:space="preserve">[4] A. Shamir, “How to share a secret,” Communications of the ACM, vol. 22, no. 11, pp. 612–613, Nov. 1979.</w:t>
      </w:r>
    </w:p>
    <w:p>
      <w:pPr>
        <w:spacing w:after="60"/>
        <w:ind w:left="260" w:hanging="260"/>
        <w:jc w:val="both"/>
      </w:pPr>
      <w:r>
        <w:rPr>
          <w:rFonts w:ascii="Times New Roman" w:cs="Times New Roman" w:eastAsia="Times New Roman" w:hAnsi="Times New Roman"/>
          <w:sz w:val="18"/>
          <w:szCs w:val="18"/>
        </w:rPr>
        <w:t xml:space="preserve">[5] R. L. Rivest, A. Shamir, and D. A. Wagner, “Time-lock puzzles and timed-release crypto,” MIT Laboratory for Computer Science, Tech. Rep. MIT/LCS/TR-684, 1996.</w:t>
      </w:r>
    </w:p>
    <w:p>
      <w:pPr>
        <w:spacing w:after="60"/>
        <w:ind w:left="260" w:hanging="260"/>
        <w:jc w:val="both"/>
      </w:pPr>
      <w:r>
        <w:rPr>
          <w:rFonts w:ascii="Times New Roman" w:cs="Times New Roman" w:eastAsia="Times New Roman" w:hAnsi="Times New Roman"/>
          <w:sz w:val="18"/>
          <w:szCs w:val="18"/>
        </w:rPr>
        <w:t xml:space="preserve">[6] M. Sabt, M. Achemlal, and A. Bouabdallah, “Trusted Execution Environment: What It is, and What It is Not,” in Proc. IEEE Trustcom/BigDataSE/ISPA, 2015, pp. 57–64.</w:t>
      </w:r>
    </w:p>
    <w:p>
      <w:pPr>
        <w:spacing w:after="60"/>
        <w:ind w:left="260" w:hanging="260"/>
        <w:jc w:val="both"/>
      </w:pPr>
      <w:r>
        <w:rPr>
          <w:rFonts w:ascii="Times New Roman" w:cs="Times New Roman" w:eastAsia="Times New Roman" w:hAnsi="Times New Roman"/>
          <w:sz w:val="18"/>
          <w:szCs w:val="18"/>
        </w:rPr>
        <w:t xml:space="preserve">[7] [PLACEHOLDER — “Student Cheating Detection in Higher Education by Implementing Machine Learning and LSTM Techniques,” PMC, 2023. Confirm exact author/journal details before submission.]</w:t>
      </w:r>
    </w:p>
    <w:p>
      <w:pPr>
        <w:spacing w:after="60"/>
        <w:ind w:left="260" w:hanging="260"/>
        <w:jc w:val="both"/>
      </w:pPr>
      <w:r>
        <w:rPr>
          <w:rFonts w:ascii="Times New Roman" w:cs="Times New Roman" w:eastAsia="Times New Roman" w:hAnsi="Times New Roman"/>
          <w:sz w:val="18"/>
          <w:szCs w:val="18"/>
        </w:rPr>
        <w:t xml:space="preserve">[8] [PLACEHOLDER — “Machine learning based approach to exam cheating detection,” PLOS ONE, 2021. Confirm exact author details before submission.]</w:t>
      </w:r>
    </w:p>
    <w:p>
      <w:pPr>
        <w:spacing w:after="60"/>
        <w:ind w:left="260" w:hanging="260"/>
        <w:jc w:val="both"/>
      </w:pPr>
      <w:r>
        <w:rPr>
          <w:rFonts w:ascii="Times New Roman" w:cs="Times New Roman" w:eastAsia="Times New Roman" w:hAnsi="Times New Roman"/>
          <w:sz w:val="18"/>
          <w:szCs w:val="18"/>
        </w:rPr>
        <w:t xml:space="preserve">[9] [PLACEHOLDER — self-citation to the companion ML/detection paper once both have final titles/venues, or “under review” if submitted together.]</w:t>
      </w:r>
    </w:p>
    <w:sectPr>
      <w:type w:val="continuous"/>
      <w:pgSz w:w="12240" w:h="15840" w:orient="portrait"/>
      <w:pgMar w:top="1080" w:right="936" w:bottom="1440" w:left="936" w:header="708" w:footer="708" w:gutter="0"/>
      <w:pgNumType/>
      <w:cols w:space="28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2026-09-26T16:16:10.352Z</dcterms:created>
  <dcterms:modified xsi:type="dcterms:W3CDTF">2026-09-26T16:16:10.353Z</dcterms:modified>
</cp:coreProperties>
</file>

<file path=docProps/custom.xml><?xml version="1.0" encoding="utf-8"?>
<Properties xmlns="http://schemas.openxmlformats.org/officeDocument/2006/custom-properties" xmlns:vt="http://schemas.openxmlformats.org/officeDocument/2006/docPropsVTypes"/>
</file>