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48"/>
          <w:szCs w:val="48"/>
        </w:rPr>
        <w:t xml:space="preserve">Explainable, Multi-Signal Leak Detection Against a Cryptographically Committed Reference: An Evaluation on Real Exam Text and Real Propagation Data</w:t>
      </w:r>
    </w:p>
    <w:p>
      <w:pPr>
        <w:spacing w:after="40"/>
        <w:jc w:val="center"/>
      </w:pPr>
      <w:r>
        <w:rPr>
          <w:rFonts w:ascii="Times New Roman" w:cs="Times New Roman" w:eastAsia="Times New Roman" w:hAnsi="Times New Roman"/>
          <w:sz w:val="22"/>
          <w:szCs w:val="22"/>
        </w:rPr>
        <w:t xml:space="preserve">[Author Name]¹, [Co-Author / Advisor Name]²</w:t>
      </w:r>
    </w:p>
    <w:p>
      <w:pPr>
        <w:spacing w:after="40"/>
        <w:jc w:val="center"/>
      </w:pPr>
      <w:r>
        <w:rPr>
          <w:rFonts w:ascii="Times New Roman" w:cs="Times New Roman" w:eastAsia="Times New Roman" w:hAnsi="Times New Roman"/>
          <w:sz w:val="22"/>
          <w:szCs w:val="22"/>
        </w:rPr>
        <w:t xml:space="preserve">¹[Your Department], [Your Institution], [City, India] — [your email]</w:t>
      </w:r>
    </w:p>
    <w:p>
      <w:pPr>
        <w:spacing w:after="40"/>
        <w:jc w:val="center"/>
      </w:pPr>
      <w:r>
        <w:rPr>
          <w:rFonts w:ascii="Times New Roman" w:cs="Times New Roman" w:eastAsia="Times New Roman" w:hAnsi="Times New Roman"/>
          <w:sz w:val="22"/>
          <w:szCs w:val="22"/>
        </w:rPr>
        <w:t xml:space="preserve">²[Advisor Department], [Institution], [City, India]</w:t>
      </w:r>
    </w:p>
    <w:p>
      <w:pPr>
        <w:sectPr>
          <w:type w:val="continuous"/>
          <w:pgSz w:w="12240" w:h="15840" w:orient="portrait"/>
          <w:pgMar w:top="1080" w:right="936" w:bottom="1440" w:left="936" w:header="708" w:footer="708" w:gutter="0"/>
          <w:pgNumType/>
          <w:docGrid w:linePitch="360"/>
        </w:sectPr>
      </w:pPr>
    </w:p>
    <w:p>
      <w:pPr>
        <w:spacing w:after="120"/>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i/>
          <w:iCs/>
          <w:sz w:val="18"/>
          <w:szCs w:val="18"/>
        </w:rPr>
        <w:t xml:space="preserve">Monitoring public channels for leaked examination content is normally framed as anomaly detection over chat behavior. We show this framing is weak on its own and propose instead matching monitored content directly against a cryptographically committed reference paper, with anomaly and propagation-structure signals as supporting evidence rather than the primary detector. We build a seven-signal detector — per-question lexical and semantic content matching, answer-key matching, verified image matching, a propagation-graph neural network, and a behavioral autoencoder — combined by a learned logistic-regression fusion, and evaluate it with leave-one-paper-out cross-validation so that the test exam paper is never seen in training: this is necessary because a random split lets a text classifier memorize exam-paper vocabulary and reach a misleadingly perfect score, a failure mode we measured directly (Section IV-A). On 2,400 simulated-session test cases built around 515 real JEE Advanced questions, our fused model reaches F1 = 0.920 ± 0.016, a +0.184 F1 gain over the strongest baseline (paired bootstrap, p &lt; 0.001), and flags 97.8% of content-bearing leaks before the exam with a 1.5% false-alarm rate on normal traffic. We additionally validate the two neural components on public real-world data unrelated to our simulated sessions: a re-implementation of BiGCN reaches 0.820/0.844 accuracy on the real Twitter15/16 rumor-cascade benchmark (published: 0.844/0.880, under a different early-stopping protocol), and our image-matching branch recovers photographed committed pages with 93% recall at a 1% false-positive rate on a held-out pool of harsher synthetic photo distortions built after the matching rule was finalized. We report every failure we found during development — including a perceptual-hashing image branch that turned out to be at chance level on realistic phone photos, and an 80% streaming false-alarm rate before we trained on truncated sessions — and state plainly that coordination-only leaks, where the paper never appears in a monitored channel, are not detected by this design (0% recall), which we argue is a fundamental limit of monitoring rather than a defect to be engineered away.</w:t>
      </w:r>
    </w:p>
    <w:p>
      <w:pPr>
        <w:spacing w:after="200"/>
        <w:jc w:val="both"/>
      </w:pPr>
      <w:r>
        <w:rPr>
          <w:rFonts w:ascii="Times New Roman" w:cs="Times New Roman" w:eastAsia="Times New Roman" w:hAnsi="Times New Roman"/>
          <w:b/>
          <w:bCs/>
          <w:i/>
          <w:iCs/>
          <w:sz w:val="18"/>
          <w:szCs w:val="18"/>
        </w:rPr>
        <w:t xml:space="preserve">Keywords—</w:t>
      </w:r>
      <w:r>
        <w:rPr>
          <w:rFonts w:ascii="Times New Roman" w:cs="Times New Roman" w:eastAsia="Times New Roman" w:hAnsi="Times New Roman"/>
          <w:i/>
          <w:iCs/>
          <w:sz w:val="18"/>
          <w:szCs w:val="18"/>
        </w:rPr>
        <w:t xml:space="preserve">leak detection, graph neural networks, rumor propagation, content matching, explainable AI, learned fusion, anomaly detection</w:t>
      </w:r>
    </w:p>
    <w:p>
      <w:pPr>
        <w:spacing w:after="120" w:before="200"/>
        <w:jc w:val="center"/>
      </w:pPr>
      <w:r>
        <w:rPr>
          <w:rFonts w:ascii="Times New Roman" w:cs="Times New Roman" w:eastAsia="Times New Roman" w:hAnsi="Times New Roman"/>
          <w:b/>
          <w:bCs/>
          <w:color w:val="000000"/>
          <w:sz w:val="20"/>
          <w:szCs w:val="20"/>
        </w:rPr>
        <w:t xml:space="preserve">I. INTRODUCTION</w:t>
      </w:r>
    </w:p>
    <w:p>
      <w:pPr>
        <w:shd w:fill="FFF3B0" w:val="clear"/>
        <w:spacing w:after="100"/>
        <w:ind w:firstLine="260"/>
        <w:jc w:val="both"/>
      </w:pPr>
      <w:r>
        <w:rPr>
          <w:rFonts w:ascii="Times New Roman" w:cs="Times New Roman" w:eastAsia="Times New Roman" w:hAnsi="Times New Roman"/>
          <w:i/>
          <w:iCs/>
          <w:color w:val="7A5C00"/>
          <w:sz w:val="19"/>
          <w:szCs w:val="19"/>
        </w:rPr>
        <w:t xml:space="preserve">[PLACEHOLDER — expand to ~4 paragraphs: (1) restate the exam-leak problem and cite the companion custody paper [1] for the prevention side; motivate why detection matters even with strong custody (leaks originate outside the formal chain too — a photographed page, a coaching-center broadcast); (2) state the central design claim up front — matching against a committed reference beats generic anomaly detection, and that this paper measures that claim rather than assumes it; (3) list contributions as below; (4) roadmap.]</w:t>
      </w:r>
    </w:p>
    <w:p>
      <w:pPr>
        <w:spacing w:after="100"/>
        <w:ind w:firstLine="0"/>
        <w:jc w:val="both"/>
      </w:pPr>
      <w:r>
        <w:rPr>
          <w:rFonts w:ascii="Times New Roman" w:cs="Times New Roman" w:eastAsia="Times New Roman" w:hAnsi="Times New Roman"/>
          <w:i w:val="false"/>
          <w:iCs w:val="false"/>
          <w:sz w:val="19"/>
          <w:szCs w:val="19"/>
        </w:rPr>
        <w:t xml:space="preserve">Contributions of this work:</w:t>
      </w:r>
    </w:p>
    <w:p>
      <w:pPr>
        <w:spacing w:after="100"/>
        <w:ind w:firstLine="0"/>
        <w:jc w:val="both"/>
      </w:pPr>
      <w:r>
        <w:rPr>
          <w:rFonts w:ascii="Times New Roman" w:cs="Times New Roman" w:eastAsia="Times New Roman" w:hAnsi="Times New Roman"/>
          <w:i w:val="false"/>
          <w:iCs w:val="false"/>
          <w:sz w:val="19"/>
          <w:szCs w:val="19"/>
        </w:rPr>
        <w:t xml:space="preserve">1) A seven-signal fusion architecture where matching against a cryptographically committed paper (lexical, semantic, answer-key, and verified image matching) is the primary evidence, and a propagation-graph GNN and a behavioral autoencoder are supporting signals — measured, not assumed, via ablation (Section V-B).</w:t>
      </w:r>
    </w:p>
    <w:p>
      <w:pPr>
        <w:spacing w:after="100"/>
        <w:ind w:firstLine="0"/>
        <w:jc w:val="both"/>
      </w:pPr>
      <w:r>
        <w:rPr>
          <w:rFonts w:ascii="Times New Roman" w:cs="Times New Roman" w:eastAsia="Times New Roman" w:hAnsi="Times New Roman"/>
          <w:i w:val="false"/>
          <w:iCs w:val="false"/>
          <w:sz w:val="19"/>
          <w:szCs w:val="19"/>
        </w:rPr>
        <w:t xml:space="preserve">2) A leave-one-paper-out evaluation protocol that avoids the vocabulary-memorization failure mode we measured under random cross-validation, plus streaming-aware training that fixes an 80% false-alarm rate we found in the first streaming evaluation.</w:t>
      </w:r>
    </w:p>
    <w:p>
      <w:pPr>
        <w:spacing w:after="100"/>
        <w:ind w:firstLine="0"/>
        <w:jc w:val="both"/>
      </w:pPr>
      <w:r>
        <w:rPr>
          <w:rFonts w:ascii="Times New Roman" w:cs="Times New Roman" w:eastAsia="Times New Roman" w:hAnsi="Times New Roman"/>
          <w:i w:val="false"/>
          <w:iCs w:val="false"/>
          <w:sz w:val="19"/>
          <w:szCs w:val="19"/>
        </w:rPr>
        <w:t xml:space="preserve">3) Validation of the two trained neural components against public real-world data the models were never trained on: real JEE Advanced question text (JEEBench [2]) for the content branch, and real Twitter15/16 rumor cascades [3] with a full BiGCN re-implementation [4] for the propagation branch.</w:t>
      </w:r>
    </w:p>
    <w:p>
      <w:pPr>
        <w:spacing w:after="100"/>
        <w:ind w:firstLine="0"/>
        <w:jc w:val="both"/>
      </w:pPr>
      <w:r>
        <w:rPr>
          <w:rFonts w:ascii="Times New Roman" w:cs="Times New Roman" w:eastAsia="Times New Roman" w:hAnsi="Times New Roman"/>
          <w:i w:val="false"/>
          <w:iCs w:val="false"/>
          <w:sz w:val="19"/>
          <w:szCs w:val="19"/>
        </w:rPr>
        <w:t xml:space="preserve">4) A transparent account of every measured failure during development — a perceptual-hash image branch at chance level on phone photos, a regex bug that silently zeroed out answer-key matching, and the streaming false-alarm problem above — each with a before/after number (Section VI).</w:t>
      </w:r>
    </w:p>
    <w:p>
      <w:pPr>
        <w:spacing w:after="120" w:before="200"/>
        <w:jc w:val="center"/>
      </w:pPr>
      <w:r>
        <w:rPr>
          <w:rFonts w:ascii="Times New Roman" w:cs="Times New Roman" w:eastAsia="Times New Roman" w:hAnsi="Times New Roman"/>
          <w:b/>
          <w:bCs/>
          <w:color w:val="000000"/>
          <w:sz w:val="20"/>
          <w:szCs w:val="20"/>
        </w:rPr>
        <w:t xml:space="preserve">II. RELATED WORK</w:t>
      </w:r>
    </w:p>
    <w:p>
      <w:pPr>
        <w:spacing w:after="80" w:before="160"/>
      </w:pPr>
      <w:r>
        <w:rPr>
          <w:rFonts w:ascii="Times New Roman" w:cs="Times New Roman" w:eastAsia="Times New Roman" w:hAnsi="Times New Roman"/>
          <w:b/>
          <w:bCs/>
          <w:i/>
          <w:iCs/>
          <w:sz w:val="19"/>
          <w:szCs w:val="19"/>
        </w:rPr>
        <w:t xml:space="preserve">Rumor and misinformation propagation detection.</w:t>
      </w:r>
    </w:p>
    <w:p>
      <w:pPr>
        <w:spacing w:after="100"/>
        <w:ind w:firstLine="260"/>
        <w:jc w:val="both"/>
      </w:pPr>
      <w:r>
        <w:rPr>
          <w:rFonts w:ascii="Times New Roman" w:cs="Times New Roman" w:eastAsia="Times New Roman" w:hAnsi="Times New Roman"/>
          <w:i w:val="false"/>
          <w:iCs w:val="false"/>
          <w:sz w:val="19"/>
          <w:szCs w:val="19"/>
        </w:rPr>
        <w:t xml:space="preserve">Ma, Gao, and Wong [5] introduced propagation-structure-based rumor detection with the Twitter15/16 datasets we use for out-of-domain validation. Bian et al. [4] proposed BiGCN, a bidirectional graph convolutional network over propagation and dispersion trees, which we re-implement in full (Section V-D) as the strongest real-cascade comparison point for our GNN branch. Our own results on real cascades (0.82–0.84 accuracy for BiGCN versus 0.32–0.33 for a text-blind structure-only GNN) support the same conclusion this literature converges on: propagation structure is informative primarily when it carries content, not on its own.</w:t>
      </w:r>
    </w:p>
    <w:p>
      <w:pPr>
        <w:spacing w:after="80" w:before="160"/>
      </w:pPr>
      <w:r>
        <w:rPr>
          <w:rFonts w:ascii="Times New Roman" w:cs="Times New Roman" w:eastAsia="Times New Roman" w:hAnsi="Times New Roman"/>
          <w:b/>
          <w:bCs/>
          <w:i/>
          <w:iCs/>
          <w:sz w:val="19"/>
          <w:szCs w:val="19"/>
        </w:rPr>
        <w:t xml:space="preserve">Graph neural networks for anomaly/cascade scoring.</w:t>
      </w:r>
    </w:p>
    <w:p>
      <w:pPr>
        <w:spacing w:after="100"/>
        <w:ind w:firstLine="260"/>
        <w:jc w:val="both"/>
      </w:pPr>
      <w:r>
        <w:rPr>
          <w:rFonts w:ascii="Times New Roman" w:cs="Times New Roman" w:eastAsia="Times New Roman" w:hAnsi="Times New Roman"/>
          <w:i w:val="false"/>
          <w:iCs w:val="false"/>
          <w:sz w:val="19"/>
          <w:szCs w:val="19"/>
        </w:rPr>
        <w:t xml:space="preserve">We build the structure branch on GraphSAGE [6] via inductive neighborhood sampling and aggregation, and use GNNExplainer [7] for node-level attribution in the fused explanation output (Section III-E).</w:t>
      </w:r>
    </w:p>
    <w:p>
      <w:pPr>
        <w:spacing w:after="80" w:before="160"/>
      </w:pPr>
      <w:r>
        <w:rPr>
          <w:rFonts w:ascii="Times New Roman" w:cs="Times New Roman" w:eastAsia="Times New Roman" w:hAnsi="Times New Roman"/>
          <w:b/>
          <w:bCs/>
          <w:i/>
          <w:iCs/>
          <w:sz w:val="19"/>
          <w:szCs w:val="19"/>
        </w:rPr>
        <w:t xml:space="preserve">Content and paraphrase matching.</w:t>
      </w:r>
    </w:p>
    <w:p>
      <w:pPr>
        <w:spacing w:after="100"/>
        <w:ind w:firstLine="260"/>
        <w:jc w:val="both"/>
      </w:pPr>
      <w:r>
        <w:rPr>
          <w:rFonts w:ascii="Times New Roman" w:cs="Times New Roman" w:eastAsia="Times New Roman" w:hAnsi="Times New Roman"/>
          <w:i w:val="false"/>
          <w:iCs w:val="false"/>
          <w:sz w:val="19"/>
          <w:szCs w:val="19"/>
        </w:rPr>
        <w:t xml:space="preserve">The Microsoft Research Paraphrase Corpus [8] is the standard paraphrase-similarity benchmark; we use it (Section V-E) to honestly evaluate our semantic-matching component, including reporting where it underperforms simple character n-grams.</w:t>
      </w:r>
    </w:p>
    <w:p>
      <w:pPr>
        <w:spacing w:after="80" w:before="160"/>
      </w:pPr>
      <w:r>
        <w:rPr>
          <w:rFonts w:ascii="Times New Roman" w:cs="Times New Roman" w:eastAsia="Times New Roman" w:hAnsi="Times New Roman"/>
          <w:b/>
          <w:bCs/>
          <w:i/>
          <w:iCs/>
          <w:sz w:val="19"/>
          <w:szCs w:val="19"/>
        </w:rPr>
        <w:t xml:space="preserve">Exam/academic-integrity ML systems</w:t>
      </w:r>
    </w:p>
    <w:p>
      <w:pPr>
        <w:spacing w:after="100"/>
        <w:ind w:firstLine="0"/>
        <w:jc w:val="both"/>
      </w:pPr>
      <w:r>
        <w:rPr>
          <w:rFonts w:ascii="Times New Roman" w:cs="Times New Roman" w:eastAsia="Times New Roman" w:hAnsi="Times New Roman"/>
          <w:i w:val="false"/>
          <w:iCs w:val="false"/>
          <w:sz w:val="19"/>
          <w:szCs w:val="19"/>
        </w:rPr>
        <w:t xml:space="preserve">in the literature largely target in-exam behavioral cheating detection [9], [10] — a different problem from pre-exam content-leak detection against a known reference, which to our knowledge has not been evaluated with real question text and real propagation data before this work.</w:t>
      </w:r>
    </w:p>
    <w:p>
      <w:pPr>
        <w:spacing w:after="120" w:before="200"/>
        <w:jc w:val="center"/>
      </w:pPr>
      <w:r>
        <w:rPr>
          <w:rFonts w:ascii="Times New Roman" w:cs="Times New Roman" w:eastAsia="Times New Roman" w:hAnsi="Times New Roman"/>
          <w:b/>
          <w:bCs/>
          <w:color w:val="000000"/>
          <w:sz w:val="20"/>
          <w:szCs w:val="20"/>
        </w:rPr>
        <w:t xml:space="preserve">III. METHOD</w:t>
      </w:r>
    </w:p>
    <w:p>
      <w:pPr>
        <w:spacing w:after="80" w:before="160"/>
      </w:pPr>
      <w:r>
        <w:rPr>
          <w:rFonts w:ascii="Times New Roman" w:cs="Times New Roman" w:eastAsia="Times New Roman" w:hAnsi="Times New Roman"/>
          <w:b/>
          <w:bCs/>
          <w:i/>
          <w:iCs/>
          <w:sz w:val="19"/>
          <w:szCs w:val="19"/>
        </w:rPr>
        <w:t xml:space="preserve">A. Design Principle</w:t>
      </w:r>
    </w:p>
    <w:p>
      <w:pPr>
        <w:spacing w:after="100"/>
        <w:ind w:firstLine="260"/>
        <w:jc w:val="both"/>
      </w:pPr>
      <w:r>
        <w:rPr>
          <w:rFonts w:ascii="Times New Roman" w:cs="Times New Roman" w:eastAsia="Times New Roman" w:hAnsi="Times New Roman"/>
          <w:i w:val="false"/>
          <w:iCs w:val="false"/>
          <w:sz w:val="19"/>
          <w:szCs w:val="19"/>
        </w:rPr>
        <w:t xml:space="preserve">Generic behavioral anomaly detection over chat traffic is weak on its own: our ablation (Section V-B) shows the autoencoder alone reaches F1 ≈ 0.44 and the GNN alone F1 ≈ 0.46–0.55, both barely better than the keyword baseline. What changes this is having a cryptographically committed reference paper to match against (produced by the custody layer's commitment ledger [1]): a message can be compared directly against the specific paper it might be leaking, not merely flagged as “unusual.” Content matching against this reference is therefore the primary signal, and structure/behavior are supporting evidence — a conclusion we reach empirically via the learned fusion weights (Section V-B), not one we assume in the architecture.</w:t>
      </w:r>
    </w:p>
    <w:p>
      <w:pPr>
        <w:spacing w:after="80" w:before="160"/>
      </w:pPr>
      <w:r>
        <w:rPr>
          <w:rFonts w:ascii="Times New Roman" w:cs="Times New Roman" w:eastAsia="Times New Roman" w:hAnsi="Times New Roman"/>
          <w:b/>
          <w:bCs/>
          <w:i/>
          <w:iCs/>
          <w:sz w:val="19"/>
          <w:szCs w:val="19"/>
        </w:rPr>
        <w:t xml:space="preserve">B. Signals</w:t>
      </w:r>
    </w:p>
    <w:p>
      <w:pPr>
        <w:sectPr>
          <w:type w:val="continuous"/>
          <w:pgSz w:w="12240" w:h="15840" w:orient="portrait"/>
          <w:pgMar w:top="1080" w:right="936" w:bottom="1440" w:left="936" w:header="708" w:footer="708" w:gutter="0"/>
          <w:pgNumType/>
          <w:cols w:space="288" w:num="2" w:equalWidth="true"/>
          <w:docGrid w:linePitch="360"/>
        </w:sectPr>
      </w:pPr>
    </w:p>
    <w:p>
      <w:pPr>
        <w:spacing w:after="60" w:before="120"/>
        <w:jc w:val="center"/>
      </w:pPr>
      <w:r>
        <w:rPr>
          <w:rFonts w:ascii="Times New Roman" w:cs="Times New Roman" w:eastAsia="Times New Roman" w:hAnsi="Times New Roman"/>
          <w:b/>
          <w:bCs/>
          <w:sz w:val="16"/>
          <w:szCs w:val="16"/>
        </w:rPr>
        <w:t xml:space="preserve">TABLE I.  THE SEVEN FUSED SIGNALS</w:t>
      </w:r>
    </w:p>
    <w:tbl>
      <w:tblPr>
        <w:tblW w:type="dxa" w:w="10368"/>
        <w:tblBorders>
          <w:top w:val="single" w:color="000000" w:sz="4"/>
          <w:left w:val="none"/>
          <w:bottom w:val="single" w:color="000000" w:sz="4"/>
          <w:right w:val="none"/>
          <w:insideH w:val="single" w:color="999999" w:sz="2"/>
          <w:insideV w:val="none"/>
        </w:tblBorders>
      </w:tblPr>
      <w:tblGrid>
        <w:gridCol w:w="3456"/>
        <w:gridCol w:w="3456"/>
        <w:gridCol w:w="3456"/>
      </w:tblGrid>
      <w:tr>
        <w:trPr>
          <w:tblHeader/>
        </w:trPr>
        <w:tc>
          <w:tcPr>
            <w:tcW w:type="dxa" w:w="3456"/>
            <w:shd w:fill="D9D9D9" w:val="clear"/>
            <w:tcMar>
              <w:top w:type="dxa" w:w="40"/>
              <w:left w:type="dxa" w:w="60"/>
              <w:bottom w:type="dxa" w:w="40"/>
              <w:right w:type="dxa" w:w="60"/>
            </w:tcMar>
          </w:tcPr>
          <w:p>
            <w:pPr>
              <w:jc w:val="center"/>
            </w:pPr>
            <w:r>
              <w:rPr>
                <w:rFonts w:ascii="Times New Roman" w:cs="Times New Roman" w:eastAsia="Times New Roman" w:hAnsi="Times New Roman"/>
                <w:b/>
                <w:bCs/>
                <w:sz w:val="15"/>
                <w:szCs w:val="15"/>
              </w:rPr>
              <w:t xml:space="preserve">Signal</w:t>
            </w:r>
          </w:p>
        </w:tc>
        <w:tc>
          <w:tcPr>
            <w:tcW w:type="dxa" w:w="3456"/>
            <w:shd w:fill="D9D9D9" w:val="clear"/>
            <w:tcMar>
              <w:top w:type="dxa" w:w="40"/>
              <w:left w:type="dxa" w:w="60"/>
              <w:bottom w:type="dxa" w:w="40"/>
              <w:right w:type="dxa" w:w="60"/>
            </w:tcMar>
          </w:tcPr>
          <w:p>
            <w:pPr>
              <w:jc w:val="center"/>
            </w:pPr>
            <w:r>
              <w:rPr>
                <w:rFonts w:ascii="Times New Roman" w:cs="Times New Roman" w:eastAsia="Times New Roman" w:hAnsi="Times New Roman"/>
                <w:b/>
                <w:bCs/>
                <w:sz w:val="15"/>
                <w:szCs w:val="15"/>
              </w:rPr>
              <w:t xml:space="preserve">Method</w:t>
            </w:r>
          </w:p>
        </w:tc>
        <w:tc>
          <w:tcPr>
            <w:tcW w:type="dxa" w:w="3456"/>
            <w:shd w:fill="D9D9D9" w:val="clear"/>
            <w:tcMar>
              <w:top w:type="dxa" w:w="40"/>
              <w:left w:type="dxa" w:w="60"/>
              <w:bottom w:type="dxa" w:w="40"/>
              <w:right w:type="dxa" w:w="60"/>
            </w:tcMar>
          </w:tcPr>
          <w:p>
            <w:pPr>
              <w:jc w:val="center"/>
            </w:pPr>
            <w:r>
              <w:rPr>
                <w:rFonts w:ascii="Times New Roman" w:cs="Times New Roman" w:eastAsia="Times New Roman" w:hAnsi="Times New Roman"/>
                <w:b/>
                <w:bCs/>
                <w:sz w:val="15"/>
                <w:szCs w:val="15"/>
              </w:rPr>
              <w:t xml:space="preserve">What it catches</w:t>
            </w:r>
          </w:p>
        </w:tc>
      </w:tr>
      <w:tr>
        <w:trPr>
          <w:tblHeader w:val="false"/>
        </w:trPr>
        <w:tc>
          <w:tcPr>
            <w:tcW w:type="dxa" w:w="3456"/>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content_lexical</w:t>
            </w:r>
          </w:p>
        </w:tc>
        <w:tc>
          <w:tcPr>
            <w:tcW w:type="dxa" w:w="3456"/>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Character 3–5-gram TF-IDF, matched per committed question</w:t>
            </w:r>
          </w:p>
        </w:tc>
        <w:tc>
          <w:tcPr>
            <w:tcW w:type="dxa" w:w="3456"/>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Verbatim, OCR-noisy, truncated, and typed copies</w:t>
            </w:r>
          </w:p>
        </w:tc>
      </w:tr>
      <w:tr>
        <w:trPr>
          <w:tblHeader w:val="false"/>
        </w:trPr>
        <w:tc>
          <w:tcPr>
            <w:tcW w:type="dxa" w:w="3456"/>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content_semantic</w:t>
            </w:r>
          </w:p>
        </w:tc>
        <w:tc>
          <w:tcPr>
            <w:tcW w:type="dxa" w:w="3456"/>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Pretrained sentence-embedding similarity</w:t>
            </w:r>
          </w:p>
        </w:tc>
        <w:tc>
          <w:tcPr>
            <w:tcW w:type="dxa" w:w="3456"/>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English rewording</w:t>
            </w:r>
          </w:p>
        </w:tc>
      </w:tr>
      <w:tr>
        <w:trPr>
          <w:tblHeader w:val="false"/>
        </w:trPr>
        <w:tc>
          <w:tcPr>
            <w:tcW w:type="dxa" w:w="3456"/>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content_answer_key</w:t>
            </w:r>
          </w:p>
        </w:tc>
        <w:tc>
          <w:tcPr>
            <w:tcW w:type="dxa" w:w="3456"/>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Parses posted answer lists and checks them against the committed key</w:t>
            </w:r>
          </w:p>
        </w:tc>
        <w:tc>
          <w:tcPr>
            <w:tcW w:type="dxa" w:w="3456"/>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Answer-key-only leaks with no question text</w:t>
            </w:r>
          </w:p>
        </w:tc>
      </w:tr>
      <w:tr>
        <w:trPr>
          <w:tblHeader w:val="false"/>
        </w:trPr>
        <w:tc>
          <w:tcPr>
            <w:tcW w:type="dxa" w:w="3456"/>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image_orb</w:t>
            </w:r>
          </w:p>
        </w:tc>
        <w:tc>
          <w:tcPr>
            <w:tcW w:type="dxa" w:w="3456"/>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ORB keypoint matching + RANSAC homography, verified by page-specificity and post-warp pixel agreement</w:t>
            </w:r>
          </w:p>
        </w:tc>
        <w:tc>
          <w:tcPr>
            <w:tcW w:type="dxa" w:w="3456"/>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Phone photos of committed pages, including partial/angled ones</w:t>
            </w:r>
          </w:p>
        </w:tc>
      </w:tr>
      <w:tr>
        <w:trPr>
          <w:tblHeader w:val="false"/>
        </w:trPr>
        <w:tc>
          <w:tcPr>
            <w:tcW w:type="dxa" w:w="3456"/>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gnn</w:t>
            </w:r>
          </w:p>
        </w:tc>
        <w:tc>
          <w:tcPr>
            <w:tcW w:type="dxa" w:w="3456"/>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Propagation-graph GraphSAGE [6], text-blind by design</w:t>
            </w:r>
          </w:p>
        </w:tc>
        <w:tc>
          <w:tcPr>
            <w:tcW w:type="dxa" w:w="3456"/>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Cascade shape (who shared with whom, how fast)</w:t>
            </w:r>
          </w:p>
        </w:tc>
      </w:tr>
      <w:tr>
        <w:trPr>
          <w:tblHeader w:val="false"/>
        </w:trPr>
        <w:tc>
          <w:tcPr>
            <w:tcW w:type="dxa" w:w="3456"/>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autoencoder</w:t>
            </w:r>
          </w:p>
        </w:tc>
        <w:tc>
          <w:tcPr>
            <w:tcW w:type="dxa" w:w="3456"/>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Reconstruction error of behavioral timing/volume features, trained on normal traffic only</w:t>
            </w:r>
          </w:p>
        </w:tc>
        <w:tc>
          <w:tcPr>
            <w:tcW w:type="dxa" w:w="3456"/>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Unusual timing and volume patterns</w:t>
            </w:r>
          </w:p>
        </w:tc>
      </w:tr>
      <w:tr>
        <w:trPr>
          <w:tblHeader w:val="false"/>
        </w:trPr>
        <w:tc>
          <w:tcPr>
            <w:tcW w:type="dxa" w:w="3456"/>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(fusion)</w:t>
            </w:r>
          </w:p>
        </w:tc>
        <w:tc>
          <w:tcPr>
            <w:tcW w:type="dxa" w:w="3456"/>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Logistic-regression stacking fitted on a held-out validation split; threshold chosen on validation, never test</w:t>
            </w:r>
          </w:p>
        </w:tc>
        <w:tc>
          <w:tcPr>
            <w:tcW w:type="dxa" w:w="3456"/>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Combines the above; weights are the model's own answer to which evidence matters</w:t>
            </w:r>
          </w:p>
        </w:tc>
      </w:tr>
    </w:tbl>
    <w:p>
      <w:pPr>
        <w:sectPr>
          <w:type w:val="continuous"/>
          <w:pgSz w:w="12240" w:h="15840" w:orient="portrait"/>
          <w:pgMar w:top="1080" w:right="936" w:bottom="1440" w:left="936" w:header="708" w:footer="708" w:gutter="0"/>
          <w:pgNumType/>
          <w:cols w:num="1"/>
          <w:docGrid w:linePitch="360"/>
        </w:sectPr>
      </w:pPr>
    </w:p>
    <w:p>
      <w:pPr>
        <w:spacing w:after="100"/>
        <w:ind w:firstLine="260"/>
        <w:jc w:val="both"/>
      </w:pPr>
      <w:r>
        <w:rPr>
          <w:rFonts w:ascii="Times New Roman" w:cs="Times New Roman" w:eastAsia="Times New Roman" w:hAnsi="Times New Roman"/>
          <w:i w:val="false"/>
          <w:iCs w:val="false"/>
          <w:sz w:val="19"/>
          <w:szCs w:val="19"/>
        </w:rPr>
        <w:t xml:space="preserve">Content and image scores are calibrated against legitimate traffic: a score of 0 means “no more similar than 95% of genuine past-paper discussion.” A perceptual-hash (pHash) image method was also measured (Section VI) and excluded from fusion after being found at chance level on realistic phone photos.</w:t>
      </w:r>
    </w:p>
    <w:p>
      <w:pPr>
        <w:spacing w:after="80" w:before="160"/>
      </w:pPr>
      <w:r>
        <w:rPr>
          <w:rFonts w:ascii="Times New Roman" w:cs="Times New Roman" w:eastAsia="Times New Roman" w:hAnsi="Times New Roman"/>
          <w:b/>
          <w:bCs/>
          <w:i/>
          <w:iCs/>
          <w:sz w:val="19"/>
          <w:szCs w:val="19"/>
        </w:rPr>
        <w:t xml:space="preserve">C. Streaming-Aware Training</w:t>
      </w:r>
    </w:p>
    <w:p>
      <w:pPr>
        <w:spacing w:after="100"/>
        <w:ind w:firstLine="260"/>
        <w:jc w:val="both"/>
      </w:pPr>
      <w:r>
        <w:rPr>
          <w:rFonts w:ascii="Times New Roman" w:cs="Times New Roman" w:eastAsia="Times New Roman" w:hAnsi="Times New Roman"/>
          <w:i w:val="false"/>
          <w:iCs w:val="false"/>
          <w:sz w:val="19"/>
          <w:szCs w:val="19"/>
        </w:rPr>
        <w:t xml:space="preserve">The detector runs continuously against live channels, so it must also perform well on partial sessions, not only complete ones. We augment both the training and validation sets with truncated session prefixes (“what a monitor would have seen by hour h”), labeled by whether leak activity had already occurred by that point. Section VI reports the measured effect of this fix.</w:t>
      </w:r>
    </w:p>
    <w:p>
      <w:pPr>
        <w:spacing w:after="80" w:before="160"/>
      </w:pPr>
      <w:r>
        <w:rPr>
          <w:rFonts w:ascii="Times New Roman" w:cs="Times New Roman" w:eastAsia="Times New Roman" w:hAnsi="Times New Roman"/>
          <w:b/>
          <w:bCs/>
          <w:i/>
          <w:iCs/>
          <w:sz w:val="19"/>
          <w:szCs w:val="19"/>
        </w:rPr>
        <w:t xml:space="preserve">D. Cross-Validation Protocol</w:t>
      </w:r>
    </w:p>
    <w:p>
      <w:pPr>
        <w:spacing w:after="100"/>
        <w:ind w:firstLine="260"/>
        <w:jc w:val="both"/>
      </w:pPr>
      <w:r>
        <w:rPr>
          <w:rFonts w:ascii="Times New Roman" w:cs="Times New Roman" w:eastAsia="Times New Roman" w:hAnsi="Times New Roman"/>
          <w:i w:val="false"/>
          <w:iCs w:val="false"/>
          <w:sz w:val="19"/>
          <w:szCs w:val="19"/>
        </w:rPr>
        <w:t xml:space="preserve">Each fold trains on sessions from three exam papers and tests on the fourth, entirely unseen paper — leave-one-paper-out cross-validation. Section IV-A reports why this specific choice was necessary, not merely conservative.</w:t>
      </w:r>
    </w:p>
    <w:p>
      <w:pPr>
        <w:spacing w:after="80" w:before="160"/>
      </w:pPr>
      <w:r>
        <w:rPr>
          <w:rFonts w:ascii="Times New Roman" w:cs="Times New Roman" w:eastAsia="Times New Roman" w:hAnsi="Times New Roman"/>
          <w:b/>
          <w:bCs/>
          <w:i/>
          <w:iCs/>
          <w:sz w:val="19"/>
          <w:szCs w:val="19"/>
        </w:rPr>
        <w:t xml:space="preserve">E. Explanation Output</w:t>
      </w:r>
    </w:p>
    <w:p>
      <w:pPr>
        <w:spacing w:after="100"/>
        <w:ind w:firstLine="260"/>
        <w:jc w:val="both"/>
      </w:pPr>
      <w:r>
        <w:rPr>
          <w:rFonts w:ascii="Times New Roman" w:cs="Times New Roman" w:eastAsia="Times New Roman" w:hAnsi="Times New Roman"/>
          <w:i w:val="false"/>
          <w:iCs w:val="false"/>
          <w:sz w:val="19"/>
          <w:szCs w:val="19"/>
        </w:rPr>
        <w:t xml:space="preserve">Every alert reports: which message matched which committed question (with the matching method), which photo matched which committed page (with the geometric inlier count), each signal's contribution to the fused log-odds score, and, when the PyTorch Geometric GNN backend is active, which accounts GNNExplainer [7] attributes the graph score to. This is designed to feed a human decision, not to trigger automated action.</w:t>
      </w:r>
    </w:p>
    <w:p>
      <w:pPr>
        <w:spacing w:after="120" w:before="200"/>
        <w:jc w:val="center"/>
      </w:pPr>
      <w:r>
        <w:rPr>
          <w:rFonts w:ascii="Times New Roman" w:cs="Times New Roman" w:eastAsia="Times New Roman" w:hAnsi="Times New Roman"/>
          <w:b/>
          <w:bCs/>
          <w:color w:val="000000"/>
          <w:sz w:val="20"/>
          <w:szCs w:val="20"/>
        </w:rPr>
        <w:t xml:space="preserve">IV. DATA</w:t>
      </w:r>
    </w:p>
    <w:p>
      <w:pPr>
        <w:spacing w:after="80" w:before="160"/>
      </w:pPr>
      <w:r>
        <w:rPr>
          <w:rFonts w:ascii="Times New Roman" w:cs="Times New Roman" w:eastAsia="Times New Roman" w:hAnsi="Times New Roman"/>
          <w:b/>
          <w:bCs/>
          <w:i/>
          <w:iCs/>
          <w:sz w:val="19"/>
          <w:szCs w:val="19"/>
        </w:rPr>
        <w:t xml:space="preserve">A. Why Leave-One-Paper-Out</w:t>
      </w:r>
    </w:p>
    <w:p>
      <w:pPr>
        <w:spacing w:after="100"/>
        <w:ind w:firstLine="260"/>
        <w:jc w:val="both"/>
      </w:pPr>
      <w:r>
        <w:rPr>
          <w:rFonts w:ascii="Times New Roman" w:cs="Times New Roman" w:eastAsia="Times New Roman" w:hAnsi="Times New Roman"/>
          <w:i w:val="false"/>
          <w:iCs w:val="false"/>
          <w:sz w:val="19"/>
          <w:szCs w:val="19"/>
        </w:rPr>
        <w:t xml:space="preserve">In an early pilot using random cross-validation splits, a supervised TF-IDF text classifier reached ROC-AUC 1.00 by memorizing the vocabulary of the small, fixed set of exam papers in the dataset — a result that cannot occur in reality, because a genuinely new exam paper has never been seen by the detector before it leaks. All results in this paper use leave-one-paper-out splits for exactly this reason.</w:t>
      </w:r>
    </w:p>
    <w:p>
      <w:pPr>
        <w:spacing w:after="80" w:before="160"/>
      </w:pPr>
      <w:r>
        <w:rPr>
          <w:rFonts w:ascii="Times New Roman" w:cs="Times New Roman" w:eastAsia="Times New Roman" w:hAnsi="Times New Roman"/>
          <w:b/>
          <w:bCs/>
          <w:i/>
          <w:iCs/>
          <w:sz w:val="19"/>
          <w:szCs w:val="19"/>
        </w:rPr>
        <w:t xml:space="preserve">B. Real and Simulated Components</w:t>
      </w:r>
    </w:p>
    <w:p>
      <w:pPr>
        <w:sectPr>
          <w:type w:val="continuous"/>
          <w:pgSz w:w="12240" w:h="15840" w:orient="portrait"/>
          <w:pgMar w:top="1080" w:right="936" w:bottom="1440" w:left="936" w:header="708" w:footer="708" w:gutter="0"/>
          <w:pgNumType/>
          <w:cols w:space="288" w:num="2" w:equalWidth="true"/>
          <w:docGrid w:linePitch="360"/>
        </w:sectPr>
      </w:pPr>
    </w:p>
    <w:p>
      <w:pPr>
        <w:spacing w:after="60" w:before="120"/>
        <w:jc w:val="center"/>
      </w:pPr>
      <w:r>
        <w:rPr>
          <w:rFonts w:ascii="Times New Roman" w:cs="Times New Roman" w:eastAsia="Times New Roman" w:hAnsi="Times New Roman"/>
          <w:b/>
          <w:bCs/>
          <w:sz w:val="16"/>
          <w:szCs w:val="16"/>
        </w:rPr>
        <w:t xml:space="preserve">TABLE II.  WHAT IS REAL AND WHAT IS SIMULATED</w:t>
      </w:r>
    </w:p>
    <w:tbl>
      <w:tblPr>
        <w:tblW w:type="dxa" w:w="10368"/>
        <w:tblBorders>
          <w:top w:val="single" w:color="000000" w:sz="4"/>
          <w:left w:val="none"/>
          <w:bottom w:val="single" w:color="000000" w:sz="4"/>
          <w:right w:val="none"/>
          <w:insideH w:val="single" w:color="999999" w:sz="2"/>
          <w:insideV w:val="none"/>
        </w:tblBorders>
      </w:tblPr>
      <w:tblGrid>
        <w:gridCol w:w="5184"/>
        <w:gridCol w:w="5184"/>
      </w:tblGrid>
      <w:tr>
        <w:trPr>
          <w:tblHeader/>
        </w:trPr>
        <w:tc>
          <w:tcPr>
            <w:tcW w:type="dxa" w:w="5184"/>
            <w:shd w:fill="D9D9D9" w:val="clear"/>
            <w:tcMar>
              <w:top w:type="dxa" w:w="40"/>
              <w:left w:type="dxa" w:w="60"/>
              <w:bottom w:type="dxa" w:w="40"/>
              <w:right w:type="dxa" w:w="60"/>
            </w:tcMar>
          </w:tcPr>
          <w:p>
            <w:pPr>
              <w:jc w:val="center"/>
            </w:pPr>
            <w:r>
              <w:rPr>
                <w:rFonts w:ascii="Times New Roman" w:cs="Times New Roman" w:eastAsia="Times New Roman" w:hAnsi="Times New Roman"/>
                <w:b/>
                <w:bCs/>
                <w:sz w:val="15"/>
                <w:szCs w:val="15"/>
              </w:rPr>
              <w:t xml:space="preserve">Real</w:t>
            </w:r>
          </w:p>
        </w:tc>
        <w:tc>
          <w:tcPr>
            <w:tcW w:type="dxa" w:w="5184"/>
            <w:shd w:fill="D9D9D9" w:val="clear"/>
            <w:tcMar>
              <w:top w:type="dxa" w:w="40"/>
              <w:left w:type="dxa" w:w="60"/>
              <w:bottom w:type="dxa" w:w="40"/>
              <w:right w:type="dxa" w:w="60"/>
            </w:tcMar>
          </w:tcPr>
          <w:p>
            <w:pPr>
              <w:jc w:val="center"/>
            </w:pPr>
            <w:r>
              <w:rPr>
                <w:rFonts w:ascii="Times New Roman" w:cs="Times New Roman" w:eastAsia="Times New Roman" w:hAnsi="Times New Roman"/>
                <w:b/>
                <w:bCs/>
                <w:sz w:val="15"/>
                <w:szCs w:val="15"/>
              </w:rPr>
              <w:t xml:space="preserve">Simulated</w:t>
            </w:r>
          </w:p>
        </w:tc>
      </w:tr>
      <w:tr>
        <w:trPr>
          <w:tblHeader w:val="false"/>
        </w:trPr>
        <w:tc>
          <w:tcPr>
            <w:tcW w:type="dxa" w:w="5184"/>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Question text and answer keys — JEEBench [2], 515 real JEE Advanced questions</w:t>
            </w:r>
          </w:p>
        </w:tc>
        <w:tc>
          <w:tcPr>
            <w:tcW w:type="dxa" w:w="5184"/>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Chat sessions: who posts what, when</w:t>
            </w:r>
          </w:p>
        </w:tc>
      </w:tr>
      <w:tr>
        <w:trPr>
          <w:tblHeader w:val="false"/>
        </w:trPr>
        <w:tc>
          <w:tcPr>
            <w:tcW w:type="dxa" w:w="5184"/>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Twitter15/16 real propagation cascades [3], [5]</w:t>
            </w:r>
          </w:p>
        </w:tc>
        <w:tc>
          <w:tcPr>
            <w:tcW w:type="dxa" w:w="5184"/>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Phone-camera photo distortions (perspective, blur, JPEG re-compression)</w:t>
            </w:r>
          </w:p>
        </w:tc>
      </w:tr>
      <w:tr>
        <w:trPr>
          <w:tblHeader w:val="false"/>
        </w:trPr>
        <w:tc>
          <w:tcPr>
            <w:tcW w:type="dxa" w:w="5184"/>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MSRP real paraphrase pairs [8]</w:t>
            </w:r>
          </w:p>
        </w:tc>
        <w:tc>
          <w:tcPr>
            <w:tcW w:type="dxa" w:w="5184"/>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w:t>
            </w:r>
          </w:p>
        </w:tc>
      </w:tr>
      <w:tr>
        <w:trPr>
          <w:tblHeader w:val="false"/>
        </w:trPr>
        <w:tc>
          <w:tcPr>
            <w:tcW w:type="dxa" w:w="5184"/>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Every cryptographic/matching primitive</w:t>
            </w:r>
          </w:p>
        </w:tc>
        <w:tc>
          <w:tcPr>
            <w:tcW w:type="dxa" w:w="5184"/>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w:t>
            </w:r>
          </w:p>
        </w:tc>
      </w:tr>
    </w:tbl>
    <w:p>
      <w:pPr>
        <w:sectPr>
          <w:type w:val="continuous"/>
          <w:pgSz w:w="12240" w:h="15840" w:orient="portrait"/>
          <w:pgMar w:top="1080" w:right="936" w:bottom="1440" w:left="936" w:header="708" w:footer="708" w:gutter="0"/>
          <w:pgNumType/>
          <w:cols w:num="1"/>
          <w:docGrid w:linePitch="360"/>
        </w:sectPr>
      </w:pPr>
    </w:p>
    <w:p>
      <w:pPr>
        <w:spacing w:after="100"/>
        <w:ind w:firstLine="260"/>
        <w:jc w:val="both"/>
      </w:pPr>
      <w:r>
        <w:rPr>
          <w:rFonts w:ascii="Times New Roman" w:cs="Times New Roman" w:eastAsia="Times New Roman" w:hAnsi="Times New Roman"/>
          <w:i w:val="false"/>
          <w:iCs w:val="false"/>
          <w:sz w:val="19"/>
          <w:szCs w:val="19"/>
        </w:rPr>
        <w:t xml:space="preserve">Four real JEE Advanced papers are the committed “target” papers under test; twelve further real past papers serve as legitimate look-alike content. 80 additional leak paraphrases (English and Hinglish/code-mixed retypes of real questions) were hand-written for evaluation only, never used in training. Session-level behavior (timing, who talks to whom, message volume) has no public dataset to draw on and is therefore simulated by an 11-scenario generator spanning four normal-channel types (exam-prep chatter, past-paper discussion, coaching broadcasts, fake-leak scams) and seven leak variants (full, partial, paraphrased, answer-key-only, photo-only, quiet, buried, and coordination-only leaks).</w:t>
      </w:r>
    </w:p>
    <w:p>
      <w:pPr>
        <w:spacing w:after="120" w:before="200"/>
        <w:jc w:val="center"/>
      </w:pPr>
      <w:r>
        <w:rPr>
          <w:rFonts w:ascii="Times New Roman" w:cs="Times New Roman" w:eastAsia="Times New Roman" w:hAnsi="Times New Roman"/>
          <w:b/>
          <w:bCs/>
          <w:color w:val="000000"/>
          <w:sz w:val="20"/>
          <w:szCs w:val="20"/>
        </w:rPr>
        <w:t xml:space="preserve">V. RESULTS</w:t>
      </w:r>
    </w:p>
    <w:p>
      <w:pPr>
        <w:spacing w:after="80" w:before="160"/>
      </w:pPr>
      <w:r>
        <w:rPr>
          <w:rFonts w:ascii="Times New Roman" w:cs="Times New Roman" w:eastAsia="Times New Roman" w:hAnsi="Times New Roman"/>
          <w:b/>
          <w:bCs/>
          <w:i/>
          <w:iCs/>
          <w:sz w:val="19"/>
          <w:szCs w:val="19"/>
        </w:rPr>
        <w:t xml:space="preserve">A. Headline (Session Level, Unseen Exam Paper)</w:t>
      </w:r>
    </w:p>
    <w:p>
      <w:pPr>
        <w:spacing w:after="100"/>
        <w:ind w:firstLine="260"/>
        <w:jc w:val="both"/>
      </w:pPr>
      <w:r>
        <w:rPr>
          <w:rFonts w:ascii="Times New Roman" w:cs="Times New Roman" w:eastAsia="Times New Roman" w:hAnsi="Times New Roman"/>
          <w:i w:val="false"/>
          <w:iCs w:val="false"/>
          <w:sz w:val="19"/>
          <w:szCs w:val="19"/>
        </w:rPr>
        <w:t xml:space="preserve">Evaluated over 2 independently generated datasets × 4 papers = 8 folds, 2,400 test sessions, 25% leak prevalence. Results are mean ± std across folds unless noted.</w:t>
      </w:r>
    </w:p>
    <w:p>
      <w:pPr>
        <w:sectPr>
          <w:type w:val="continuous"/>
          <w:pgSz w:w="12240" w:h="15840" w:orient="portrait"/>
          <w:pgMar w:top="1080" w:right="936" w:bottom="1440" w:left="936" w:header="708" w:footer="708" w:gutter="0"/>
          <w:pgNumType/>
          <w:cols w:space="288" w:num="2" w:equalWidth="true"/>
          <w:docGrid w:linePitch="360"/>
        </w:sectPr>
      </w:pPr>
    </w:p>
    <w:p>
      <w:pPr>
        <w:spacing w:after="60" w:before="120"/>
        <w:jc w:val="center"/>
      </w:pPr>
      <w:r>
        <w:rPr>
          <w:rFonts w:ascii="Times New Roman" w:cs="Times New Roman" w:eastAsia="Times New Roman" w:hAnsi="Times New Roman"/>
          <w:b/>
          <w:bCs/>
          <w:sz w:val="16"/>
          <w:szCs w:val="16"/>
        </w:rPr>
        <w:t xml:space="preserve">TABLE III.  HEADLINE RESULTS</w:t>
      </w:r>
    </w:p>
    <w:tbl>
      <w:tblPr>
        <w:tblW w:type="dxa" w:w="10368"/>
        <w:tblBorders>
          <w:top w:val="single" w:color="000000" w:sz="4"/>
          <w:left w:val="none"/>
          <w:bottom w:val="single" w:color="000000" w:sz="4"/>
          <w:right w:val="none"/>
          <w:insideH w:val="single" w:color="999999" w:sz="2"/>
          <w:insideV w:val="none"/>
        </w:tblBorders>
      </w:tblPr>
      <w:tblGrid>
        <w:gridCol w:w="1728"/>
        <w:gridCol w:w="1728"/>
        <w:gridCol w:w="1728"/>
        <w:gridCol w:w="1728"/>
        <w:gridCol w:w="1728"/>
        <w:gridCol w:w="1728"/>
      </w:tblGrid>
      <w:tr>
        <w:trPr>
          <w:tblHeader/>
        </w:trPr>
        <w:tc>
          <w:tcPr>
            <w:tcW w:type="dxa" w:w="1728"/>
            <w:shd w:fill="D9D9D9" w:val="clear"/>
            <w:tcMar>
              <w:top w:type="dxa" w:w="40"/>
              <w:left w:type="dxa" w:w="60"/>
              <w:bottom w:type="dxa" w:w="40"/>
              <w:right w:type="dxa" w:w="60"/>
            </w:tcMar>
          </w:tcPr>
          <w:p>
            <w:pPr>
              <w:jc w:val="center"/>
            </w:pPr>
            <w:r>
              <w:rPr>
                <w:rFonts w:ascii="Times New Roman" w:cs="Times New Roman" w:eastAsia="Times New Roman" w:hAnsi="Times New Roman"/>
                <w:b/>
                <w:bCs/>
                <w:sz w:val="15"/>
                <w:szCs w:val="15"/>
              </w:rPr>
              <w:t xml:space="preserve">Model</w:t>
            </w:r>
          </w:p>
        </w:tc>
        <w:tc>
          <w:tcPr>
            <w:tcW w:type="dxa" w:w="1728"/>
            <w:shd w:fill="D9D9D9" w:val="clear"/>
            <w:tcMar>
              <w:top w:type="dxa" w:w="40"/>
              <w:left w:type="dxa" w:w="60"/>
              <w:bottom w:type="dxa" w:w="40"/>
              <w:right w:type="dxa" w:w="60"/>
            </w:tcMar>
          </w:tcPr>
          <w:p>
            <w:pPr>
              <w:jc w:val="center"/>
            </w:pPr>
            <w:r>
              <w:rPr>
                <w:rFonts w:ascii="Times New Roman" w:cs="Times New Roman" w:eastAsia="Times New Roman" w:hAnsi="Times New Roman"/>
                <w:b/>
                <w:bCs/>
                <w:sz w:val="15"/>
                <w:szCs w:val="15"/>
              </w:rPr>
              <w:t xml:space="preserve">F1</w:t>
            </w:r>
          </w:p>
        </w:tc>
        <w:tc>
          <w:tcPr>
            <w:tcW w:type="dxa" w:w="1728"/>
            <w:shd w:fill="D9D9D9" w:val="clear"/>
            <w:tcMar>
              <w:top w:type="dxa" w:w="40"/>
              <w:left w:type="dxa" w:w="60"/>
              <w:bottom w:type="dxa" w:w="40"/>
              <w:right w:type="dxa" w:w="60"/>
            </w:tcMar>
          </w:tcPr>
          <w:p>
            <w:pPr>
              <w:jc w:val="center"/>
            </w:pPr>
            <w:r>
              <w:rPr>
                <w:rFonts w:ascii="Times New Roman" w:cs="Times New Roman" w:eastAsia="Times New Roman" w:hAnsi="Times New Roman"/>
                <w:b/>
                <w:bCs/>
                <w:sz w:val="15"/>
                <w:szCs w:val="15"/>
              </w:rPr>
              <w:t xml:space="preserve">Precision</w:t>
            </w:r>
          </w:p>
        </w:tc>
        <w:tc>
          <w:tcPr>
            <w:tcW w:type="dxa" w:w="1728"/>
            <w:shd w:fill="D9D9D9" w:val="clear"/>
            <w:tcMar>
              <w:top w:type="dxa" w:w="40"/>
              <w:left w:type="dxa" w:w="60"/>
              <w:bottom w:type="dxa" w:w="40"/>
              <w:right w:type="dxa" w:w="60"/>
            </w:tcMar>
          </w:tcPr>
          <w:p>
            <w:pPr>
              <w:jc w:val="center"/>
            </w:pPr>
            <w:r>
              <w:rPr>
                <w:rFonts w:ascii="Times New Roman" w:cs="Times New Roman" w:eastAsia="Times New Roman" w:hAnsi="Times New Roman"/>
                <w:b/>
                <w:bCs/>
                <w:sz w:val="15"/>
                <w:szCs w:val="15"/>
              </w:rPr>
              <w:t xml:space="preserve">Recall</w:t>
            </w:r>
          </w:p>
        </w:tc>
        <w:tc>
          <w:tcPr>
            <w:tcW w:type="dxa" w:w="1728"/>
            <w:shd w:fill="D9D9D9" w:val="clear"/>
            <w:tcMar>
              <w:top w:type="dxa" w:w="40"/>
              <w:left w:type="dxa" w:w="60"/>
              <w:bottom w:type="dxa" w:w="40"/>
              <w:right w:type="dxa" w:w="60"/>
            </w:tcMar>
          </w:tcPr>
          <w:p>
            <w:pPr>
              <w:jc w:val="center"/>
            </w:pPr>
            <w:r>
              <w:rPr>
                <w:rFonts w:ascii="Times New Roman" w:cs="Times New Roman" w:eastAsia="Times New Roman" w:hAnsi="Times New Roman"/>
                <w:b/>
                <w:bCs/>
                <w:sz w:val="15"/>
                <w:szCs w:val="15"/>
              </w:rPr>
              <w:t xml:space="preserve">ROC-AUC</w:t>
            </w:r>
          </w:p>
        </w:tc>
        <w:tc>
          <w:tcPr>
            <w:tcW w:type="dxa" w:w="1728"/>
            <w:shd w:fill="D9D9D9" w:val="clear"/>
            <w:tcMar>
              <w:top w:type="dxa" w:w="40"/>
              <w:left w:type="dxa" w:w="60"/>
              <w:bottom w:type="dxa" w:w="40"/>
              <w:right w:type="dxa" w:w="60"/>
            </w:tcMar>
          </w:tcPr>
          <w:p>
            <w:pPr>
              <w:jc w:val="center"/>
            </w:pPr>
            <w:r>
              <w:rPr>
                <w:rFonts w:ascii="Times New Roman" w:cs="Times New Roman" w:eastAsia="Times New Roman" w:hAnsi="Times New Roman"/>
                <w:b/>
                <w:bCs/>
                <w:sz w:val="15"/>
                <w:szCs w:val="15"/>
              </w:rPr>
              <w:t xml:space="preserve">PR-AUC</w:t>
            </w:r>
          </w:p>
        </w:tc>
      </w:tr>
      <w:tr>
        <w:trPr>
          <w:tblHeader w:val="false"/>
        </w:trPr>
        <w:tc>
          <w:tcPr>
            <w:tcW w:type="dxa" w:w="1728"/>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Our fused model</w:t>
            </w:r>
          </w:p>
        </w:tc>
        <w:tc>
          <w:tcPr>
            <w:tcW w:type="dxa" w:w="1728"/>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0.920 ± 0.016</w:t>
            </w:r>
          </w:p>
        </w:tc>
        <w:tc>
          <w:tcPr>
            <w:tcW w:type="dxa" w:w="1728"/>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0.966 ± 0.028</w:t>
            </w:r>
          </w:p>
        </w:tc>
        <w:tc>
          <w:tcPr>
            <w:tcW w:type="dxa" w:w="1728"/>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0.879 ± 0.022</w:t>
            </w:r>
          </w:p>
        </w:tc>
        <w:tc>
          <w:tcPr>
            <w:tcW w:type="dxa" w:w="1728"/>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0.956 ± 0.012</w:t>
            </w:r>
          </w:p>
        </w:tc>
        <w:tc>
          <w:tcPr>
            <w:tcW w:type="dxa" w:w="1728"/>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0.944 ± 0.011</w:t>
            </w:r>
          </w:p>
        </w:tc>
      </w:tr>
      <w:tr>
        <w:trPr>
          <w:tblHeader w:val="false"/>
        </w:trPr>
        <w:tc>
          <w:tcPr>
            <w:tcW w:type="dxa" w:w="1728"/>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Equal-weight fusion (same signals, unlearned)</w:t>
            </w:r>
          </w:p>
        </w:tc>
        <w:tc>
          <w:tcPr>
            <w:tcW w:type="dxa" w:w="1728"/>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0.904 ± 0.029</w:t>
            </w:r>
          </w:p>
        </w:tc>
        <w:tc>
          <w:tcPr>
            <w:tcW w:type="dxa" w:w="1728"/>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0.975 ± 0.029</w:t>
            </w:r>
          </w:p>
        </w:tc>
        <w:tc>
          <w:tcPr>
            <w:tcW w:type="dxa" w:w="1728"/>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0.846 ± 0.056</w:t>
            </w:r>
          </w:p>
        </w:tc>
        <w:tc>
          <w:tcPr>
            <w:tcW w:type="dxa" w:w="1728"/>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0.943 ± 0.012</w:t>
            </w:r>
          </w:p>
        </w:tc>
        <w:tc>
          <w:tcPr>
            <w:tcW w:type="dxa" w:w="1728"/>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0.932 ± 0.012</w:t>
            </w:r>
          </w:p>
        </w:tc>
      </w:tr>
      <w:tr>
        <w:trPr>
          <w:tblHeader w:val="false"/>
        </w:trPr>
        <w:tc>
          <w:tcPr>
            <w:tcW w:type="dxa" w:w="1728"/>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Baseline: random forest on session statistics</w:t>
            </w:r>
          </w:p>
        </w:tc>
        <w:tc>
          <w:tcPr>
            <w:tcW w:type="dxa" w:w="1728"/>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0.735 ± 0.053</w:t>
            </w:r>
          </w:p>
        </w:tc>
        <w:tc>
          <w:tcPr>
            <w:tcW w:type="dxa" w:w="1728"/>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0.753 ± 0.102</w:t>
            </w:r>
          </w:p>
        </w:tc>
        <w:tc>
          <w:tcPr>
            <w:tcW w:type="dxa" w:w="1728"/>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0.739 ± 0.100</w:t>
            </w:r>
          </w:p>
        </w:tc>
        <w:tc>
          <w:tcPr>
            <w:tcW w:type="dxa" w:w="1728"/>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0.928 ± 0.016</w:t>
            </w:r>
          </w:p>
        </w:tc>
        <w:tc>
          <w:tcPr>
            <w:tcW w:type="dxa" w:w="1728"/>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0.841 ± 0.044</w:t>
            </w:r>
          </w:p>
        </w:tc>
      </w:tr>
      <w:tr>
        <w:trPr>
          <w:tblHeader w:val="false"/>
        </w:trPr>
        <w:tc>
          <w:tcPr>
            <w:tcW w:type="dxa" w:w="1728"/>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Baseline: logistic regression on session statistics</w:t>
            </w:r>
          </w:p>
        </w:tc>
        <w:tc>
          <w:tcPr>
            <w:tcW w:type="dxa" w:w="1728"/>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0.576 ± 0.054</w:t>
            </w:r>
          </w:p>
        </w:tc>
        <w:tc>
          <w:tcPr>
            <w:tcW w:type="dxa" w:w="1728"/>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0.585 ± 0.079</w:t>
            </w:r>
          </w:p>
        </w:tc>
        <w:tc>
          <w:tcPr>
            <w:tcW w:type="dxa" w:w="1728"/>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0.588 ± 0.102</w:t>
            </w:r>
          </w:p>
        </w:tc>
        <w:tc>
          <w:tcPr>
            <w:tcW w:type="dxa" w:w="1728"/>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0.829 ± 0.020</w:t>
            </w:r>
          </w:p>
        </w:tc>
        <w:tc>
          <w:tcPr>
            <w:tcW w:type="dxa" w:w="1728"/>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0.656 ± 0.040</w:t>
            </w:r>
          </w:p>
        </w:tc>
      </w:tr>
      <w:tr>
        <w:trPr>
          <w:tblHeader w:val="false"/>
        </w:trPr>
        <w:tc>
          <w:tcPr>
            <w:tcW w:type="dxa" w:w="1728"/>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Baseline: supervised TF-IDF text classifier</w:t>
            </w:r>
          </w:p>
        </w:tc>
        <w:tc>
          <w:tcPr>
            <w:tcW w:type="dxa" w:w="1728"/>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0.563 ± 0.046</w:t>
            </w:r>
          </w:p>
        </w:tc>
        <w:tc>
          <w:tcPr>
            <w:tcW w:type="dxa" w:w="1728"/>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0.833 ± 0.077</w:t>
            </w:r>
          </w:p>
        </w:tc>
        <w:tc>
          <w:tcPr>
            <w:tcW w:type="dxa" w:w="1728"/>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0.431 ± 0.058</w:t>
            </w:r>
          </w:p>
        </w:tc>
        <w:tc>
          <w:tcPr>
            <w:tcW w:type="dxa" w:w="1728"/>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0.935 ± 0.024</w:t>
            </w:r>
          </w:p>
        </w:tc>
        <w:tc>
          <w:tcPr>
            <w:tcW w:type="dxa" w:w="1728"/>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0.806 ± 0.056</w:t>
            </w:r>
          </w:p>
        </w:tc>
      </w:tr>
      <w:tr>
        <w:trPr>
          <w:tblHeader w:val="false"/>
        </w:trPr>
        <w:tc>
          <w:tcPr>
            <w:tcW w:type="dxa" w:w="1728"/>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Baseline: keyword rule</w:t>
            </w:r>
          </w:p>
        </w:tc>
        <w:tc>
          <w:tcPr>
            <w:tcW w:type="dxa" w:w="1728"/>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0.395 ± 0.039</w:t>
            </w:r>
          </w:p>
        </w:tc>
        <w:tc>
          <w:tcPr>
            <w:tcW w:type="dxa" w:w="1728"/>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0.250 ± 0.024</w:t>
            </w:r>
          </w:p>
        </w:tc>
        <w:tc>
          <w:tcPr>
            <w:tcW w:type="dxa" w:w="1728"/>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0.949 ± 0.134</w:t>
            </w:r>
          </w:p>
        </w:tc>
        <w:tc>
          <w:tcPr>
            <w:tcW w:type="dxa" w:w="1728"/>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0.450 ± 0.033</w:t>
            </w:r>
          </w:p>
        </w:tc>
        <w:tc>
          <w:tcPr>
            <w:tcW w:type="dxa" w:w="1728"/>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0.225 ± 0.035</w:t>
            </w:r>
          </w:p>
        </w:tc>
      </w:tr>
    </w:tbl>
    <w:p>
      <w:pPr>
        <w:sectPr>
          <w:type w:val="continuous"/>
          <w:pgSz w:w="12240" w:h="15840" w:orient="portrait"/>
          <w:pgMar w:top="1080" w:right="936" w:bottom="1440" w:left="936" w:header="708" w:footer="708" w:gutter="0"/>
          <w:pgNumType/>
          <w:cols w:num="1"/>
          <w:docGrid w:linePitch="360"/>
        </w:sectPr>
      </w:pPr>
    </w:p>
    <w:p>
      <w:pPr>
        <w:spacing w:after="100"/>
        <w:ind w:firstLine="260"/>
        <w:jc w:val="both"/>
      </w:pPr>
      <w:r>
        <w:rPr>
          <w:rFonts w:ascii="Times New Roman" w:cs="Times New Roman" w:eastAsia="Times New Roman" w:hAnsi="Times New Roman"/>
          <w:i w:val="false"/>
          <w:iCs w:val="false"/>
          <w:sz w:val="19"/>
          <w:szCs w:val="19"/>
        </w:rPr>
        <w:t xml:space="preserve">Pooled out-of-fold (n = 2,400): F1 = 0.919 (95% CI 0.902–0.934), PR-AUC = 0.944 (95% CI 0.931–0.958). Against the best baseline, the paired-bootstrap F1 gain is +0.184 (95% CI +0.156 to +0.214, p &lt; 0.001). Expected calibration error is 0.078.</w:t>
      </w:r>
    </w:p>
    <w:p>
      <w:pPr>
        <w:spacing w:after="80" w:before="160"/>
      </w:pPr>
      <w:r>
        <w:rPr>
          <w:rFonts w:ascii="Times New Roman" w:cs="Times New Roman" w:eastAsia="Times New Roman" w:hAnsi="Times New Roman"/>
          <w:b/>
          <w:bCs/>
          <w:i/>
          <w:iCs/>
          <w:sz w:val="19"/>
          <w:szCs w:val="19"/>
        </w:rPr>
        <w:t xml:space="preserve">B. Ablations: What Each Signal Contributes</w:t>
      </w:r>
    </w:p>
    <w:p>
      <w:pPr>
        <w:sectPr>
          <w:type w:val="continuous"/>
          <w:pgSz w:w="12240" w:h="15840" w:orient="portrait"/>
          <w:pgMar w:top="1080" w:right="936" w:bottom="1440" w:left="936" w:header="708" w:footer="708" w:gutter="0"/>
          <w:pgNumType/>
          <w:cols w:space="288" w:num="2" w:equalWidth="true"/>
          <w:docGrid w:linePitch="360"/>
        </w:sectPr>
      </w:pPr>
    </w:p>
    <w:p>
      <w:pPr>
        <w:spacing w:after="60" w:before="120"/>
        <w:jc w:val="center"/>
      </w:pPr>
      <w:r>
        <w:rPr>
          <w:rFonts w:ascii="Times New Roman" w:cs="Times New Roman" w:eastAsia="Times New Roman" w:hAnsi="Times New Roman"/>
          <w:b/>
          <w:bCs/>
          <w:sz w:val="16"/>
          <w:szCs w:val="16"/>
        </w:rPr>
        <w:t xml:space="preserve">TABLE IV.  ABLATION RESULTS</w:t>
      </w:r>
    </w:p>
    <w:tbl>
      <w:tblPr>
        <w:tblW w:type="dxa" w:w="10368"/>
        <w:tblBorders>
          <w:top w:val="single" w:color="000000" w:sz="4"/>
          <w:left w:val="none"/>
          <w:bottom w:val="single" w:color="000000" w:sz="4"/>
          <w:right w:val="none"/>
          <w:insideH w:val="single" w:color="999999" w:sz="2"/>
          <w:insideV w:val="none"/>
        </w:tblBorders>
      </w:tblPr>
      <w:tblGrid>
        <w:gridCol w:w="5184"/>
        <w:gridCol w:w="5184"/>
      </w:tblGrid>
      <w:tr>
        <w:trPr>
          <w:tblHeader/>
        </w:trPr>
        <w:tc>
          <w:tcPr>
            <w:tcW w:type="dxa" w:w="5184"/>
            <w:shd w:fill="D9D9D9" w:val="clear"/>
            <w:tcMar>
              <w:top w:type="dxa" w:w="40"/>
              <w:left w:type="dxa" w:w="60"/>
              <w:bottom w:type="dxa" w:w="40"/>
              <w:right w:type="dxa" w:w="60"/>
            </w:tcMar>
          </w:tcPr>
          <w:p>
            <w:pPr>
              <w:jc w:val="center"/>
            </w:pPr>
            <w:r>
              <w:rPr>
                <w:rFonts w:ascii="Times New Roman" w:cs="Times New Roman" w:eastAsia="Times New Roman" w:hAnsi="Times New Roman"/>
                <w:b/>
                <w:bCs/>
                <w:sz w:val="15"/>
                <w:szCs w:val="15"/>
              </w:rPr>
              <w:t xml:space="preserve">Configuration</w:t>
            </w:r>
          </w:p>
        </w:tc>
        <w:tc>
          <w:tcPr>
            <w:tcW w:type="dxa" w:w="5184"/>
            <w:shd w:fill="D9D9D9" w:val="clear"/>
            <w:tcMar>
              <w:top w:type="dxa" w:w="40"/>
              <w:left w:type="dxa" w:w="60"/>
              <w:bottom w:type="dxa" w:w="40"/>
              <w:right w:type="dxa" w:w="60"/>
            </w:tcMar>
          </w:tcPr>
          <w:p>
            <w:pPr>
              <w:jc w:val="center"/>
            </w:pPr>
            <w:r>
              <w:rPr>
                <w:rFonts w:ascii="Times New Roman" w:cs="Times New Roman" w:eastAsia="Times New Roman" w:hAnsi="Times New Roman"/>
                <w:b/>
                <w:bCs/>
                <w:sz w:val="15"/>
                <w:szCs w:val="15"/>
              </w:rPr>
              <w:t xml:space="preserve">F1</w:t>
            </w:r>
          </w:p>
        </w:tc>
      </w:tr>
      <w:tr>
        <w:trPr>
          <w:tblHeader w:val="false"/>
        </w:trPr>
        <w:tc>
          <w:tcPr>
            <w:tcW w:type="dxa" w:w="5184"/>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Full model</w:t>
            </w:r>
          </w:p>
        </w:tc>
        <w:tc>
          <w:tcPr>
            <w:tcW w:type="dxa" w:w="5184"/>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0.920 ± 0.016</w:t>
            </w:r>
          </w:p>
        </w:tc>
      </w:tr>
      <w:tr>
        <w:trPr>
          <w:tblHeader w:val="false"/>
        </w:trPr>
        <w:tc>
          <w:tcPr>
            <w:tcW w:type="dxa" w:w="5184"/>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without content branch</w:t>
            </w:r>
          </w:p>
        </w:tc>
        <w:tc>
          <w:tcPr>
            <w:tcW w:type="dxa" w:w="5184"/>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0.647 ± 0.042</w:t>
            </w:r>
          </w:p>
        </w:tc>
      </w:tr>
      <w:tr>
        <w:trPr>
          <w:tblHeader w:val="false"/>
        </w:trPr>
        <w:tc>
          <w:tcPr>
            <w:tcW w:type="dxa" w:w="5184"/>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without image branch</w:t>
            </w:r>
          </w:p>
        </w:tc>
        <w:tc>
          <w:tcPr>
            <w:tcW w:type="dxa" w:w="5184"/>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0.843 ± 0.022</w:t>
            </w:r>
          </w:p>
        </w:tc>
      </w:tr>
      <w:tr>
        <w:trPr>
          <w:tblHeader w:val="false"/>
        </w:trPr>
        <w:tc>
          <w:tcPr>
            <w:tcW w:type="dxa" w:w="5184"/>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without GNN</w:t>
            </w:r>
          </w:p>
        </w:tc>
        <w:tc>
          <w:tcPr>
            <w:tcW w:type="dxa" w:w="5184"/>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0.917 ± 0.019</w:t>
            </w:r>
          </w:p>
        </w:tc>
      </w:tr>
      <w:tr>
        <w:trPr>
          <w:tblHeader w:val="false"/>
        </w:trPr>
        <w:tc>
          <w:tcPr>
            <w:tcW w:type="dxa" w:w="5184"/>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without autoencoder</w:t>
            </w:r>
          </w:p>
        </w:tc>
        <w:tc>
          <w:tcPr>
            <w:tcW w:type="dxa" w:w="5184"/>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0.911 ± 0.014</w:t>
            </w:r>
          </w:p>
        </w:tc>
      </w:tr>
      <w:tr>
        <w:trPr>
          <w:tblHeader w:val="false"/>
        </w:trPr>
        <w:tc>
          <w:tcPr>
            <w:tcW w:type="dxa" w:w="5184"/>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content alone</w:t>
            </w:r>
          </w:p>
        </w:tc>
        <w:tc>
          <w:tcPr>
            <w:tcW w:type="dxa" w:w="5184"/>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0.817 ± 0.028</w:t>
            </w:r>
          </w:p>
        </w:tc>
      </w:tr>
      <w:tr>
        <w:trPr>
          <w:tblHeader w:val="false"/>
        </w:trPr>
        <w:tc>
          <w:tcPr>
            <w:tcW w:type="dxa" w:w="5184"/>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image alone</w:t>
            </w:r>
          </w:p>
        </w:tc>
        <w:tc>
          <w:tcPr>
            <w:tcW w:type="dxa" w:w="5184"/>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0.569 ± 0.053</w:t>
            </w:r>
          </w:p>
        </w:tc>
      </w:tr>
      <w:tr>
        <w:trPr>
          <w:tblHeader w:val="false"/>
        </w:trPr>
        <w:tc>
          <w:tcPr>
            <w:tcW w:type="dxa" w:w="5184"/>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GNN alone</w:t>
            </w:r>
          </w:p>
        </w:tc>
        <w:tc>
          <w:tcPr>
            <w:tcW w:type="dxa" w:w="5184"/>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0.463 ± 0.035</w:t>
            </w:r>
          </w:p>
        </w:tc>
      </w:tr>
      <w:tr>
        <w:trPr>
          <w:tblHeader w:val="false"/>
        </w:trPr>
        <w:tc>
          <w:tcPr>
            <w:tcW w:type="dxa" w:w="5184"/>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autoencoder alone</w:t>
            </w:r>
          </w:p>
        </w:tc>
        <w:tc>
          <w:tcPr>
            <w:tcW w:type="dxa" w:w="5184"/>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0.438 ± 0.044</w:t>
            </w:r>
          </w:p>
        </w:tc>
      </w:tr>
      <w:tr>
        <w:trPr>
          <w:tblHeader w:val="false"/>
        </w:trPr>
        <w:tc>
          <w:tcPr>
            <w:tcW w:type="dxa" w:w="5184"/>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10% / 20% of training and validation labels flipped</w:t>
            </w:r>
          </w:p>
        </w:tc>
        <w:tc>
          <w:tcPr>
            <w:tcW w:type="dxa" w:w="5184"/>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0.909 ± 0.020 / 0.889 ± 0.040</w:t>
            </w:r>
          </w:p>
        </w:tc>
      </w:tr>
    </w:tbl>
    <w:p>
      <w:pPr>
        <w:sectPr>
          <w:type w:val="continuous"/>
          <w:pgSz w:w="12240" w:h="15840" w:orient="portrait"/>
          <w:pgMar w:top="1080" w:right="936" w:bottom="1440" w:left="936" w:header="708" w:footer="708" w:gutter="0"/>
          <w:pgNumType/>
          <w:cols w:num="1"/>
          <w:docGrid w:linePitch="360"/>
        </w:sectPr>
      </w:pPr>
    </w:p>
    <w:p>
      <w:pPr>
        <w:spacing w:after="100"/>
        <w:ind w:firstLine="260"/>
        <w:jc w:val="both"/>
      </w:pPr>
      <w:r>
        <w:rPr>
          <w:rFonts w:ascii="Times New Roman" w:cs="Times New Roman" w:eastAsia="Times New Roman" w:hAnsi="Times New Roman"/>
          <w:i w:val="false"/>
          <w:iCs w:val="false"/>
          <w:sz w:val="19"/>
          <w:szCs w:val="19"/>
        </w:rPr>
        <w:t xml:space="preserve">Learned fusion weights (standardized log-odds, mean over folds): content_lexical +2.74, image_orb +1.66, content_answer_key +1.08, gnn +0.48, autoencoder +0.44, content_semantic −0.39. Removing the content branch drops F1 from 0.92 to 0.65 — the largest single effect of any ablation, and the empirical basis for the design principle in Section III-A. The semantic embedding's small negative weight reflects its strong correlation with the lexical score once that signal is already present, not that semantic matching is unhelpful in isolation.</w:t>
      </w:r>
    </w:p>
    <w:p>
      <w:pPr>
        <w:spacing w:after="80" w:before="160"/>
      </w:pPr>
      <w:r>
        <w:rPr>
          <w:rFonts w:ascii="Times New Roman" w:cs="Times New Roman" w:eastAsia="Times New Roman" w:hAnsi="Times New Roman"/>
          <w:b/>
          <w:bCs/>
          <w:i/>
          <w:iCs/>
          <w:sz w:val="19"/>
          <w:szCs w:val="19"/>
        </w:rPr>
        <w:t xml:space="preserve">C. Streaming Detection</w:t>
      </w:r>
    </w:p>
    <w:p>
      <w:pPr>
        <w:spacing w:after="100"/>
        <w:ind w:firstLine="260"/>
        <w:jc w:val="both"/>
      </w:pPr>
      <w:r>
        <w:rPr>
          <w:rFonts w:ascii="Times New Roman" w:cs="Times New Roman" w:eastAsia="Times New Roman" w:hAnsi="Times New Roman"/>
          <w:i w:val="false"/>
          <w:iCs w:val="false"/>
          <w:sz w:val="19"/>
          <w:szCs w:val="19"/>
        </w:rPr>
        <w:t xml:space="preserve">Each test session was re-scored at 17 checkpoints from 240 hours to 0 hours before the exam, using only messages seen so far. 88.0% of all leaks were flagged before the exam started (97.8% of leaks that post any leaked content; 0% of coordination-only leaks, discussed in Section VI). 81.5% were flagged at least 24 hours before the exam; the median delay after the first leaked item appears is 11.8 hours (an upper bound, since checkpoints are 3–24 hours apart). 1.5% of normal channels alert at any checkpoint.</w:t>
      </w:r>
    </w:p>
    <w:p>
      <w:pPr>
        <w:spacing w:after="80" w:before="160"/>
      </w:pPr>
      <w:r>
        <w:rPr>
          <w:rFonts w:ascii="Times New Roman" w:cs="Times New Roman" w:eastAsia="Times New Roman" w:hAnsi="Times New Roman"/>
          <w:b/>
          <w:bCs/>
          <w:i/>
          <w:iCs/>
          <w:sz w:val="19"/>
          <w:szCs w:val="19"/>
        </w:rPr>
        <w:t xml:space="preserve">D. Real Propagation Data: Twitter15/16</w:t>
      </w:r>
    </w:p>
    <w:p>
      <w:pPr>
        <w:spacing w:after="100"/>
        <w:ind w:firstLine="260"/>
        <w:jc w:val="both"/>
      </w:pPr>
      <w:r>
        <w:rPr>
          <w:rFonts w:ascii="Times New Roman" w:cs="Times New Roman" w:eastAsia="Times New Roman" w:hAnsi="Times New Roman"/>
          <w:i w:val="false"/>
          <w:iCs w:val="false"/>
          <w:sz w:val="19"/>
          <w:szCs w:val="19"/>
        </w:rPr>
        <w:t xml:space="preserve">To validate the propagation-graph branch on data our synthetic generator never touched, we re-implemented BiGCN [4] and compared it against GCN, a text-blind structure-only GNN (architecturally matching our detector's own GNN branch), and text-only logistic regression baselines, on the real Twitter15/16 rumor-cascade datasets [3], [5] (4-class: non-rumor, false, true, unverified; stratified 5-fold CV; early stopping on a validation slice of the training fold only).</w:t>
      </w:r>
    </w:p>
    <w:p>
      <w:pPr>
        <w:sectPr>
          <w:type w:val="continuous"/>
          <w:pgSz w:w="12240" w:h="15840" w:orient="portrait"/>
          <w:pgMar w:top="1080" w:right="936" w:bottom="1440" w:left="936" w:header="708" w:footer="708" w:gutter="0"/>
          <w:pgNumType/>
          <w:cols w:space="288" w:num="2" w:equalWidth="true"/>
          <w:docGrid w:linePitch="360"/>
        </w:sectPr>
      </w:pPr>
    </w:p>
    <w:p>
      <w:pPr>
        <w:spacing w:after="60" w:before="120"/>
        <w:jc w:val="center"/>
      </w:pPr>
      <w:r>
        <w:rPr>
          <w:rFonts w:ascii="Times New Roman" w:cs="Times New Roman" w:eastAsia="Times New Roman" w:hAnsi="Times New Roman"/>
          <w:b/>
          <w:bCs/>
          <w:sz w:val="16"/>
          <w:szCs w:val="16"/>
        </w:rPr>
        <w:t xml:space="preserve">TABLE V.  REAL-CASCADE RESULTS (TWITTER15 / TWITTER16)</w:t>
      </w:r>
    </w:p>
    <w:tbl>
      <w:tblPr>
        <w:tblW w:type="dxa" w:w="10368"/>
        <w:tblBorders>
          <w:top w:val="single" w:color="000000" w:sz="4"/>
          <w:left w:val="none"/>
          <w:bottom w:val="single" w:color="000000" w:sz="4"/>
          <w:right w:val="none"/>
          <w:insideH w:val="single" w:color="999999" w:sz="2"/>
          <w:insideV w:val="none"/>
        </w:tblBorders>
      </w:tblPr>
      <w:tblGrid>
        <w:gridCol w:w="2073"/>
        <w:gridCol w:w="2073"/>
        <w:gridCol w:w="2073"/>
        <w:gridCol w:w="2073"/>
        <w:gridCol w:w="2073"/>
      </w:tblGrid>
      <w:tr>
        <w:trPr>
          <w:tblHeader/>
        </w:trPr>
        <w:tc>
          <w:tcPr>
            <w:tcW w:type="dxa" w:w="2073"/>
            <w:shd w:fill="D9D9D9" w:val="clear"/>
            <w:tcMar>
              <w:top w:type="dxa" w:w="40"/>
              <w:left w:type="dxa" w:w="60"/>
              <w:bottom w:type="dxa" w:w="40"/>
              <w:right w:type="dxa" w:w="60"/>
            </w:tcMar>
          </w:tcPr>
          <w:p>
            <w:pPr>
              <w:jc w:val="center"/>
            </w:pPr>
            <w:r>
              <w:rPr>
                <w:rFonts w:ascii="Times New Roman" w:cs="Times New Roman" w:eastAsia="Times New Roman" w:hAnsi="Times New Roman"/>
                <w:b/>
                <w:bCs/>
                <w:sz w:val="15"/>
                <w:szCs w:val="15"/>
              </w:rPr>
              <w:t xml:space="preserve">Model</w:t>
            </w:r>
          </w:p>
        </w:tc>
        <w:tc>
          <w:tcPr>
            <w:tcW w:type="dxa" w:w="2073"/>
            <w:shd w:fill="D9D9D9" w:val="clear"/>
            <w:tcMar>
              <w:top w:type="dxa" w:w="40"/>
              <w:left w:type="dxa" w:w="60"/>
              <w:bottom w:type="dxa" w:w="40"/>
              <w:right w:type="dxa" w:w="60"/>
            </w:tcMar>
          </w:tcPr>
          <w:p>
            <w:pPr>
              <w:jc w:val="center"/>
            </w:pPr>
            <w:r>
              <w:rPr>
                <w:rFonts w:ascii="Times New Roman" w:cs="Times New Roman" w:eastAsia="Times New Roman" w:hAnsi="Times New Roman"/>
                <w:b/>
                <w:bCs/>
                <w:sz w:val="15"/>
                <w:szCs w:val="15"/>
              </w:rPr>
              <w:t xml:space="preserve">Twitter15 acc.</w:t>
            </w:r>
          </w:p>
        </w:tc>
        <w:tc>
          <w:tcPr>
            <w:tcW w:type="dxa" w:w="2073"/>
            <w:shd w:fill="D9D9D9" w:val="clear"/>
            <w:tcMar>
              <w:top w:type="dxa" w:w="40"/>
              <w:left w:type="dxa" w:w="60"/>
              <w:bottom w:type="dxa" w:w="40"/>
              <w:right w:type="dxa" w:w="60"/>
            </w:tcMar>
          </w:tcPr>
          <w:p>
            <w:pPr>
              <w:jc w:val="center"/>
            </w:pPr>
            <w:r>
              <w:rPr>
                <w:rFonts w:ascii="Times New Roman" w:cs="Times New Roman" w:eastAsia="Times New Roman" w:hAnsi="Times New Roman"/>
                <w:b/>
                <w:bCs/>
                <w:sz w:val="15"/>
                <w:szCs w:val="15"/>
              </w:rPr>
              <w:t xml:space="preserve">Twitter15 macro-F1</w:t>
            </w:r>
          </w:p>
        </w:tc>
        <w:tc>
          <w:tcPr>
            <w:tcW w:type="dxa" w:w="2073"/>
            <w:shd w:fill="D9D9D9" w:val="clear"/>
            <w:tcMar>
              <w:top w:type="dxa" w:w="40"/>
              <w:left w:type="dxa" w:w="60"/>
              <w:bottom w:type="dxa" w:w="40"/>
              <w:right w:type="dxa" w:w="60"/>
            </w:tcMar>
          </w:tcPr>
          <w:p>
            <w:pPr>
              <w:jc w:val="center"/>
            </w:pPr>
            <w:r>
              <w:rPr>
                <w:rFonts w:ascii="Times New Roman" w:cs="Times New Roman" w:eastAsia="Times New Roman" w:hAnsi="Times New Roman"/>
                <w:b/>
                <w:bCs/>
                <w:sz w:val="15"/>
                <w:szCs w:val="15"/>
              </w:rPr>
              <w:t xml:space="preserve">Twitter16 acc.</w:t>
            </w:r>
          </w:p>
        </w:tc>
        <w:tc>
          <w:tcPr>
            <w:tcW w:type="dxa" w:w="2073"/>
            <w:shd w:fill="D9D9D9" w:val="clear"/>
            <w:tcMar>
              <w:top w:type="dxa" w:w="40"/>
              <w:left w:type="dxa" w:w="60"/>
              <w:bottom w:type="dxa" w:w="40"/>
              <w:right w:type="dxa" w:w="60"/>
            </w:tcMar>
          </w:tcPr>
          <w:p>
            <w:pPr>
              <w:jc w:val="center"/>
            </w:pPr>
            <w:r>
              <w:rPr>
                <w:rFonts w:ascii="Times New Roman" w:cs="Times New Roman" w:eastAsia="Times New Roman" w:hAnsi="Times New Roman"/>
                <w:b/>
                <w:bCs/>
                <w:sz w:val="15"/>
                <w:szCs w:val="15"/>
              </w:rPr>
              <w:t xml:space="preserve">Twitter16 macro-F1</w:t>
            </w:r>
          </w:p>
        </w:tc>
      </w:tr>
      <w:tr>
        <w:trPr>
          <w:tblHeader w:val="false"/>
        </w:trPr>
        <w:tc>
          <w:tcPr>
            <w:tcW w:type="dxa" w:w="2073"/>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BiGCN (our re-implementation)</w:t>
            </w:r>
          </w:p>
        </w:tc>
        <w:tc>
          <w:tcPr>
            <w:tcW w:type="dxa" w:w="2073"/>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0.820 ± 0.015</w:t>
            </w:r>
          </w:p>
        </w:tc>
        <w:tc>
          <w:tcPr>
            <w:tcW w:type="dxa" w:w="2073"/>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0.820 ± 0.015</w:t>
            </w:r>
          </w:p>
        </w:tc>
        <w:tc>
          <w:tcPr>
            <w:tcW w:type="dxa" w:w="2073"/>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0.844 ± 0.022</w:t>
            </w:r>
          </w:p>
        </w:tc>
        <w:tc>
          <w:tcPr>
            <w:tcW w:type="dxa" w:w="2073"/>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0.844 ± 0.023</w:t>
            </w:r>
          </w:p>
        </w:tc>
      </w:tr>
      <w:tr>
        <w:trPr>
          <w:tblHeader w:val="false"/>
        </w:trPr>
        <w:tc>
          <w:tcPr>
            <w:tcW w:type="dxa" w:w="2073"/>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GCN</w:t>
            </w:r>
          </w:p>
        </w:tc>
        <w:tc>
          <w:tcPr>
            <w:tcW w:type="dxa" w:w="2073"/>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0.780 ± 0.035</w:t>
            </w:r>
          </w:p>
        </w:tc>
        <w:tc>
          <w:tcPr>
            <w:tcW w:type="dxa" w:w="2073"/>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0.780 ± 0.033</w:t>
            </w:r>
          </w:p>
        </w:tc>
        <w:tc>
          <w:tcPr>
            <w:tcW w:type="dxa" w:w="2073"/>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0.781 ± 0.029</w:t>
            </w:r>
          </w:p>
        </w:tc>
        <w:tc>
          <w:tcPr>
            <w:tcW w:type="dxa" w:w="2073"/>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0.785 ± 0.029</w:t>
            </w:r>
          </w:p>
        </w:tc>
      </w:tr>
      <w:tr>
        <w:trPr>
          <w:tblHeader w:val="false"/>
        </w:trPr>
        <w:tc>
          <w:tcPr>
            <w:tcW w:type="dxa" w:w="2073"/>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Source-tweet text only (logistic regression)</w:t>
            </w:r>
          </w:p>
        </w:tc>
        <w:tc>
          <w:tcPr>
            <w:tcW w:type="dxa" w:w="2073"/>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0.807 ± 0.015</w:t>
            </w:r>
          </w:p>
        </w:tc>
        <w:tc>
          <w:tcPr>
            <w:tcW w:type="dxa" w:w="2073"/>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0.809 ± 0.015</w:t>
            </w:r>
          </w:p>
        </w:tc>
        <w:tc>
          <w:tcPr>
            <w:tcW w:type="dxa" w:w="2073"/>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0.849 ± 0.023</w:t>
            </w:r>
          </w:p>
        </w:tc>
        <w:tc>
          <w:tcPr>
            <w:tcW w:type="dxa" w:w="2073"/>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0.850 ± 0.024</w:t>
            </w:r>
          </w:p>
        </w:tc>
      </w:tr>
      <w:tr>
        <w:trPr>
          <w:tblHeader w:val="false"/>
        </w:trPr>
        <w:tc>
          <w:tcPr>
            <w:tcW w:type="dxa" w:w="2073"/>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Whole-cascade text, no structure</w:t>
            </w:r>
          </w:p>
        </w:tc>
        <w:tc>
          <w:tcPr>
            <w:tcW w:type="dxa" w:w="2073"/>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0.725 ± 0.028</w:t>
            </w:r>
          </w:p>
        </w:tc>
        <w:tc>
          <w:tcPr>
            <w:tcW w:type="dxa" w:w="2073"/>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0.728 ± 0.028</w:t>
            </w:r>
          </w:p>
        </w:tc>
        <w:tc>
          <w:tcPr>
            <w:tcW w:type="dxa" w:w="2073"/>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0.723 ± 0.023</w:t>
            </w:r>
          </w:p>
        </w:tc>
        <w:tc>
          <w:tcPr>
            <w:tcW w:type="dxa" w:w="2073"/>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0.723 ± 0.023</w:t>
            </w:r>
          </w:p>
        </w:tc>
      </w:tr>
      <w:tr>
        <w:trPr>
          <w:tblHeader w:val="false"/>
        </w:trPr>
        <w:tc>
          <w:tcPr>
            <w:tcW w:type="dxa" w:w="2073"/>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Structure-only GNN (text-blind, matches our GNN branch)</w:t>
            </w:r>
          </w:p>
        </w:tc>
        <w:tc>
          <w:tcPr>
            <w:tcW w:type="dxa" w:w="2073"/>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0.322 ± 0.010</w:t>
            </w:r>
          </w:p>
        </w:tc>
        <w:tc>
          <w:tcPr>
            <w:tcW w:type="dxa" w:w="2073"/>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0.293 ± 0.016</w:t>
            </w:r>
          </w:p>
        </w:tc>
        <w:tc>
          <w:tcPr>
            <w:tcW w:type="dxa" w:w="2073"/>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0.330 ± 0.036</w:t>
            </w:r>
          </w:p>
        </w:tc>
        <w:tc>
          <w:tcPr>
            <w:tcW w:type="dxa" w:w="2073"/>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0.276 ± 0.033</w:t>
            </w:r>
          </w:p>
        </w:tc>
      </w:tr>
      <w:tr>
        <w:trPr>
          <w:tblHeader w:val="false"/>
        </w:trPr>
        <w:tc>
          <w:tcPr>
            <w:tcW w:type="dxa" w:w="2073"/>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Majority class (chance)</w:t>
            </w:r>
          </w:p>
        </w:tc>
        <w:tc>
          <w:tcPr>
            <w:tcW w:type="dxa" w:w="2073"/>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0.254</w:t>
            </w:r>
          </w:p>
        </w:tc>
        <w:tc>
          <w:tcPr>
            <w:tcW w:type="dxa" w:w="2073"/>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w:t>
            </w:r>
          </w:p>
        </w:tc>
        <w:tc>
          <w:tcPr>
            <w:tcW w:type="dxa" w:w="2073"/>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0.255</w:t>
            </w:r>
          </w:p>
        </w:tc>
        <w:tc>
          <w:tcPr>
            <w:tcW w:type="dxa" w:w="2073"/>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w:t>
            </w:r>
          </w:p>
        </w:tc>
      </w:tr>
      <w:tr>
        <w:trPr>
          <w:tblHeader w:val="false"/>
        </w:trPr>
        <w:tc>
          <w:tcPr>
            <w:tcW w:type="dxa" w:w="2073"/>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Published BiGCN [4] (different early-stopping protocol)</w:t>
            </w:r>
          </w:p>
        </w:tc>
        <w:tc>
          <w:tcPr>
            <w:tcW w:type="dxa" w:w="2073"/>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0.844</w:t>
            </w:r>
          </w:p>
        </w:tc>
        <w:tc>
          <w:tcPr>
            <w:tcW w:type="dxa" w:w="2073"/>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w:t>
            </w:r>
          </w:p>
        </w:tc>
        <w:tc>
          <w:tcPr>
            <w:tcW w:type="dxa" w:w="2073"/>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0.880</w:t>
            </w:r>
          </w:p>
        </w:tc>
        <w:tc>
          <w:tcPr>
            <w:tcW w:type="dxa" w:w="2073"/>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w:t>
            </w:r>
          </w:p>
        </w:tc>
      </w:tr>
    </w:tbl>
    <w:p>
      <w:pPr>
        <w:sectPr>
          <w:type w:val="continuous"/>
          <w:pgSz w:w="12240" w:h="15840" w:orient="portrait"/>
          <w:pgMar w:top="1080" w:right="936" w:bottom="1440" w:left="936" w:header="708" w:footer="708" w:gutter="0"/>
          <w:pgNumType/>
          <w:cols w:num="1"/>
          <w:docGrid w:linePitch="360"/>
        </w:sectPr>
      </w:pPr>
    </w:p>
    <w:p>
      <w:pPr>
        <w:spacing w:after="100"/>
        <w:ind w:firstLine="260"/>
        <w:jc w:val="both"/>
      </w:pPr>
      <w:r>
        <w:rPr>
          <w:rFonts w:ascii="Times New Roman" w:cs="Times New Roman" w:eastAsia="Times New Roman" w:hAnsi="Times New Roman"/>
          <w:i w:val="false"/>
          <w:iCs w:val="false"/>
          <w:sz w:val="19"/>
          <w:szCs w:val="19"/>
        </w:rPr>
        <w:t xml:space="preserve">Our BiGCN reaches 0.82–0.84, close to the published 0.844–0.880 (the published implementation early-stops on the test fold; a small gap under our stricter protocol is expected). Structure adds real value when it carries content — BiGCN beats whole-cascade text without structure by 10–12 accuracy points — but a text-blind structure-only GNN is only 7–8 points above chance, matching the weak GNN-alone result in our own synthetic ablation (Table IV) and directly supporting the design decision to treat the GNN as a supporting rather than primary signal.</w:t>
      </w:r>
    </w:p>
    <w:p>
      <w:pPr>
        <w:spacing w:after="80" w:before="160"/>
      </w:pPr>
      <w:r>
        <w:rPr>
          <w:rFonts w:ascii="Times New Roman" w:cs="Times New Roman" w:eastAsia="Times New Roman" w:hAnsi="Times New Roman"/>
          <w:b/>
          <w:bCs/>
          <w:i/>
          <w:iCs/>
          <w:sz w:val="19"/>
          <w:szCs w:val="19"/>
        </w:rPr>
        <w:t xml:space="preserve">E. Content Branch on Real Question Text</w:t>
      </w:r>
    </w:p>
    <w:p>
      <w:pPr>
        <w:sectPr>
          <w:type w:val="continuous"/>
          <w:pgSz w:w="12240" w:h="15840" w:orient="portrait"/>
          <w:pgMar w:top="1080" w:right="936" w:bottom="1440" w:left="936" w:header="708" w:footer="708" w:gutter="0"/>
          <w:pgNumType/>
          <w:cols w:space="288" w:num="2" w:equalWidth="true"/>
          <w:docGrid w:linePitch="360"/>
        </w:sectPr>
      </w:pPr>
    </w:p>
    <w:p>
      <w:pPr>
        <w:spacing w:after="60" w:before="120"/>
        <w:jc w:val="center"/>
      </w:pPr>
      <w:r>
        <w:rPr>
          <w:rFonts w:ascii="Times New Roman" w:cs="Times New Roman" w:eastAsia="Times New Roman" w:hAnsi="Times New Roman"/>
          <w:b/>
          <w:bCs/>
          <w:sz w:val="16"/>
          <w:szCs w:val="16"/>
        </w:rPr>
        <w:t xml:space="preserve">TABLE VI.  CONTENT BRANCH BY LEAK FORM (REAL JEE ADVANCED TEXT)</w:t>
      </w:r>
    </w:p>
    <w:tbl>
      <w:tblPr>
        <w:tblW w:type="dxa" w:w="10368"/>
        <w:tblBorders>
          <w:top w:val="single" w:color="000000" w:sz="4"/>
          <w:left w:val="none"/>
          <w:bottom w:val="single" w:color="000000" w:sz="4"/>
          <w:right w:val="none"/>
          <w:insideH w:val="single" w:color="999999" w:sz="2"/>
          <w:insideV w:val="none"/>
        </w:tblBorders>
      </w:tblPr>
      <w:tblGrid>
        <w:gridCol w:w="3456"/>
        <w:gridCol w:w="3456"/>
        <w:gridCol w:w="3456"/>
      </w:tblGrid>
      <w:tr>
        <w:trPr>
          <w:tblHeader/>
        </w:trPr>
        <w:tc>
          <w:tcPr>
            <w:tcW w:type="dxa" w:w="3456"/>
            <w:shd w:fill="D9D9D9" w:val="clear"/>
            <w:tcMar>
              <w:top w:type="dxa" w:w="40"/>
              <w:left w:type="dxa" w:w="60"/>
              <w:bottom w:type="dxa" w:w="40"/>
              <w:right w:type="dxa" w:w="60"/>
            </w:tcMar>
          </w:tcPr>
          <w:p>
            <w:pPr>
              <w:jc w:val="center"/>
            </w:pPr>
            <w:r>
              <w:rPr>
                <w:rFonts w:ascii="Times New Roman" w:cs="Times New Roman" w:eastAsia="Times New Roman" w:hAnsi="Times New Roman"/>
                <w:b/>
                <w:bCs/>
                <w:sz w:val="15"/>
                <w:szCs w:val="15"/>
              </w:rPr>
              <w:t xml:space="preserve">Leak form</w:t>
            </w:r>
          </w:p>
        </w:tc>
        <w:tc>
          <w:tcPr>
            <w:tcW w:type="dxa" w:w="3456"/>
            <w:shd w:fill="D9D9D9" w:val="clear"/>
            <w:tcMar>
              <w:top w:type="dxa" w:w="40"/>
              <w:left w:type="dxa" w:w="60"/>
              <w:bottom w:type="dxa" w:w="40"/>
              <w:right w:type="dxa" w:w="60"/>
            </w:tcMar>
          </w:tcPr>
          <w:p>
            <w:pPr>
              <w:jc w:val="center"/>
            </w:pPr>
            <w:r>
              <w:rPr>
                <w:rFonts w:ascii="Times New Roman" w:cs="Times New Roman" w:eastAsia="Times New Roman" w:hAnsi="Times New Roman"/>
                <w:b/>
                <w:bCs/>
                <w:sz w:val="15"/>
                <w:szCs w:val="15"/>
              </w:rPr>
              <w:t xml:space="preserve">Combined ROC-AUC</w:t>
            </w:r>
          </w:p>
        </w:tc>
        <w:tc>
          <w:tcPr>
            <w:tcW w:type="dxa" w:w="3456"/>
            <w:shd w:fill="D9D9D9" w:val="clear"/>
            <w:tcMar>
              <w:top w:type="dxa" w:w="40"/>
              <w:left w:type="dxa" w:w="60"/>
              <w:bottom w:type="dxa" w:w="40"/>
              <w:right w:type="dxa" w:w="60"/>
            </w:tcMar>
          </w:tcPr>
          <w:p>
            <w:pPr>
              <w:jc w:val="center"/>
            </w:pPr>
            <w:r>
              <w:rPr>
                <w:rFonts w:ascii="Times New Roman" w:cs="Times New Roman" w:eastAsia="Times New Roman" w:hAnsi="Times New Roman"/>
                <w:b/>
                <w:bCs/>
                <w:sz w:val="15"/>
                <w:szCs w:val="15"/>
              </w:rPr>
              <w:t xml:space="preserve">Recall @ 1% FPR</w:t>
            </w:r>
          </w:p>
        </w:tc>
      </w:tr>
      <w:tr>
        <w:trPr>
          <w:tblHeader w:val="false"/>
        </w:trPr>
        <w:tc>
          <w:tcPr>
            <w:tcW w:type="dxa" w:w="3456"/>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verbatim / OCR-noisy</w:t>
            </w:r>
          </w:p>
        </w:tc>
        <w:tc>
          <w:tcPr>
            <w:tcW w:type="dxa" w:w="3456"/>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1.000 / 1.000</w:t>
            </w:r>
          </w:p>
        </w:tc>
        <w:tc>
          <w:tcPr>
            <w:tcW w:type="dxa" w:w="3456"/>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1.00 / 1.00</w:t>
            </w:r>
          </w:p>
        </w:tc>
      </w:tr>
      <w:tr>
        <w:trPr>
          <w:tblHeader w:val="false"/>
        </w:trPr>
        <w:tc>
          <w:tcPr>
            <w:tcW w:type="dxa" w:w="3456"/>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typed shorthand / excerpt</w:t>
            </w:r>
          </w:p>
        </w:tc>
        <w:tc>
          <w:tcPr>
            <w:tcW w:type="dxa" w:w="3456"/>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0.990 / 0.968</w:t>
            </w:r>
          </w:p>
        </w:tc>
        <w:tc>
          <w:tcPr>
            <w:tcW w:type="dxa" w:w="3456"/>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0.97 / 0.77</w:t>
            </w:r>
          </w:p>
        </w:tc>
      </w:tr>
      <w:tr>
        <w:trPr>
          <w:tblHeader w:val="false"/>
        </w:trPr>
        <w:tc>
          <w:tcPr>
            <w:tcW w:type="dxa" w:w="3456"/>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English paraphrase (hand-written)</w:t>
            </w:r>
          </w:p>
        </w:tc>
        <w:tc>
          <w:tcPr>
            <w:tcW w:type="dxa" w:w="3456"/>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0.976</w:t>
            </w:r>
          </w:p>
        </w:tc>
        <w:tc>
          <w:tcPr>
            <w:tcW w:type="dxa" w:w="3456"/>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0.70</w:t>
            </w:r>
          </w:p>
        </w:tc>
      </w:tr>
      <w:tr>
        <w:trPr>
          <w:tblHeader w:val="false"/>
        </w:trPr>
        <w:tc>
          <w:tcPr>
            <w:tcW w:type="dxa" w:w="3456"/>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Hinglish retype (hand-written)</w:t>
            </w:r>
          </w:p>
        </w:tc>
        <w:tc>
          <w:tcPr>
            <w:tcW w:type="dxa" w:w="3456"/>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0.853</w:t>
            </w:r>
          </w:p>
        </w:tc>
        <w:tc>
          <w:tcPr>
            <w:tcW w:type="dxa" w:w="3456"/>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0.30</w:t>
            </w:r>
          </w:p>
        </w:tc>
      </w:tr>
      <w:tr>
        <w:trPr>
          <w:tblHeader w:val="false"/>
        </w:trPr>
        <w:tc>
          <w:tcPr>
            <w:tcW w:type="dxa" w:w="3456"/>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answer-key list</w:t>
            </w:r>
          </w:p>
        </w:tc>
        <w:tc>
          <w:tcPr>
            <w:tcW w:type="dxa" w:w="3456"/>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1.000</w:t>
            </w:r>
          </w:p>
        </w:tc>
        <w:tc>
          <w:tcPr>
            <w:tcW w:type="dxa" w:w="3456"/>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1.00</w:t>
            </w:r>
          </w:p>
        </w:tc>
      </w:tr>
      <w:tr>
        <w:trPr>
          <w:tblHeader w:val="false"/>
        </w:trPr>
        <w:tc>
          <w:tcPr>
            <w:tcW w:type="dxa" w:w="3456"/>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all forms combined</w:t>
            </w:r>
          </w:p>
        </w:tc>
        <w:tc>
          <w:tcPr>
            <w:tcW w:type="dxa" w:w="3456"/>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0.976</w:t>
            </w:r>
          </w:p>
        </w:tc>
        <w:tc>
          <w:tcPr>
            <w:tcW w:type="dxa" w:w="3456"/>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0.86</w:t>
            </w:r>
          </w:p>
        </w:tc>
      </w:tr>
    </w:tbl>
    <w:p>
      <w:pPr>
        <w:sectPr>
          <w:type w:val="continuous"/>
          <w:pgSz w:w="12240" w:h="15840" w:orient="portrait"/>
          <w:pgMar w:top="1080" w:right="936" w:bottom="1440" w:left="936" w:header="708" w:footer="708" w:gutter="0"/>
          <w:pgNumType/>
          <w:cols w:num="1"/>
          <w:docGrid w:linePitch="360"/>
        </w:sectPr>
      </w:pPr>
    </w:p>
    <w:p>
      <w:pPr>
        <w:spacing w:after="100"/>
        <w:ind w:firstLine="260"/>
        <w:jc w:val="both"/>
      </w:pPr>
      <w:r>
        <w:rPr>
          <w:rFonts w:ascii="Times New Roman" w:cs="Times New Roman" w:eastAsia="Times New Roman" w:hAnsi="Times New Roman"/>
          <w:i w:val="false"/>
          <w:iCs w:val="false"/>
          <w:sz w:val="19"/>
          <w:szCs w:val="19"/>
        </w:rPr>
        <w:t xml:space="preserve">On MSRP [8], the standard paraphrase benchmark, our semantic embedding scores ROC-AUC 0.724, below character TF-IDF (0.755) and roughly matching word TF-IDF (0.715) — an honest negative result: the lightweight static-embedding model we used for semantic matching does not beat character n-grams on this benchmark, and we report it rather than omit it.</w:t>
      </w:r>
    </w:p>
    <w:p>
      <w:pPr>
        <w:spacing w:after="80" w:before="160"/>
      </w:pPr>
      <w:r>
        <w:rPr>
          <w:rFonts w:ascii="Times New Roman" w:cs="Times New Roman" w:eastAsia="Times New Roman" w:hAnsi="Times New Roman"/>
          <w:b/>
          <w:bCs/>
          <w:i/>
          <w:iCs/>
          <w:sz w:val="19"/>
          <w:szCs w:val="19"/>
        </w:rPr>
        <w:t xml:space="preserve">F. Image Branch</w:t>
      </w:r>
    </w:p>
    <w:p>
      <w:pPr>
        <w:sectPr>
          <w:type w:val="continuous"/>
          <w:pgSz w:w="12240" w:h="15840" w:orient="portrait"/>
          <w:pgMar w:top="1080" w:right="936" w:bottom="1440" w:left="936" w:header="708" w:footer="708" w:gutter="0"/>
          <w:pgNumType/>
          <w:cols w:space="288" w:num="2" w:equalWidth="true"/>
          <w:docGrid w:linePitch="360"/>
        </w:sectPr>
      </w:pPr>
    </w:p>
    <w:p>
      <w:pPr>
        <w:spacing w:after="60" w:before="120"/>
        <w:jc w:val="center"/>
      </w:pPr>
      <w:r>
        <w:rPr>
          <w:rFonts w:ascii="Times New Roman" w:cs="Times New Roman" w:eastAsia="Times New Roman" w:hAnsi="Times New Roman"/>
          <w:b/>
          <w:bCs/>
          <w:sz w:val="16"/>
          <w:szCs w:val="16"/>
        </w:rPr>
        <w:t xml:space="preserve">TABLE VII.  IMAGE MATCHING: RECALL OF PHOTOGRAPHED COMMITTED PAGES AT 1% FALSE-POSITIVE RATE</w:t>
      </w:r>
    </w:p>
    <w:tbl>
      <w:tblPr>
        <w:tblW w:type="dxa" w:w="10368"/>
        <w:tblBorders>
          <w:top w:val="single" w:color="000000" w:sz="4"/>
          <w:left w:val="none"/>
          <w:bottom w:val="single" w:color="000000" w:sz="4"/>
          <w:right w:val="none"/>
          <w:insideH w:val="single" w:color="999999" w:sz="2"/>
          <w:insideV w:val="none"/>
        </w:tblBorders>
      </w:tblPr>
      <w:tblGrid>
        <w:gridCol w:w="3456"/>
        <w:gridCol w:w="3456"/>
        <w:gridCol w:w="3456"/>
      </w:tblGrid>
      <w:tr>
        <w:trPr>
          <w:tblHeader/>
        </w:trPr>
        <w:tc>
          <w:tcPr>
            <w:tcW w:type="dxa" w:w="3456"/>
            <w:shd w:fill="D9D9D9" w:val="clear"/>
            <w:tcMar>
              <w:top w:type="dxa" w:w="40"/>
              <w:left w:type="dxa" w:w="60"/>
              <w:bottom w:type="dxa" w:w="40"/>
              <w:right w:type="dxa" w:w="60"/>
            </w:tcMar>
          </w:tcPr>
          <w:p>
            <w:pPr>
              <w:jc w:val="center"/>
            </w:pPr>
            <w:r>
              <w:rPr>
                <w:rFonts w:ascii="Times New Roman" w:cs="Times New Roman" w:eastAsia="Times New Roman" w:hAnsi="Times New Roman"/>
                <w:b/>
                <w:bCs/>
                <w:sz w:val="15"/>
                <w:szCs w:val="15"/>
              </w:rPr>
              <w:t xml:space="preserve">Method</w:t>
            </w:r>
          </w:p>
        </w:tc>
        <w:tc>
          <w:tcPr>
            <w:tcW w:type="dxa" w:w="3456"/>
            <w:shd w:fill="D9D9D9" w:val="clear"/>
            <w:tcMar>
              <w:top w:type="dxa" w:w="40"/>
              <w:left w:type="dxa" w:w="60"/>
              <w:bottom w:type="dxa" w:w="40"/>
              <w:right w:type="dxa" w:w="60"/>
            </w:tcMar>
          </w:tcPr>
          <w:p>
            <w:pPr>
              <w:jc w:val="center"/>
            </w:pPr>
            <w:r>
              <w:rPr>
                <w:rFonts w:ascii="Times New Roman" w:cs="Times New Roman" w:eastAsia="Times New Roman" w:hAnsi="Times New Roman"/>
                <w:b/>
                <w:bCs/>
                <w:sz w:val="15"/>
                <w:szCs w:val="15"/>
              </w:rPr>
              <w:t xml:space="preserve">Standard photos (n=76)</w:t>
            </w:r>
          </w:p>
        </w:tc>
        <w:tc>
          <w:tcPr>
            <w:tcW w:type="dxa" w:w="3456"/>
            <w:shd w:fill="D9D9D9" w:val="clear"/>
            <w:tcMar>
              <w:top w:type="dxa" w:w="40"/>
              <w:left w:type="dxa" w:w="60"/>
              <w:bottom w:type="dxa" w:w="40"/>
              <w:right w:type="dxa" w:w="60"/>
            </w:tcMar>
          </w:tcPr>
          <w:p>
            <w:pPr>
              <w:jc w:val="center"/>
            </w:pPr>
            <w:r>
              <w:rPr>
                <w:rFonts w:ascii="Times New Roman" w:cs="Times New Roman" w:eastAsia="Times New Roman" w:hAnsi="Times New Roman"/>
                <w:b/>
                <w:bCs/>
                <w:sz w:val="15"/>
                <w:szCs w:val="15"/>
              </w:rPr>
              <w:t xml:space="preserve">Held-out harsher photos (n=76)</w:t>
            </w:r>
          </w:p>
        </w:tc>
      </w:tr>
      <w:tr>
        <w:trPr>
          <w:tblHeader w:val="false"/>
        </w:trPr>
        <w:tc>
          <w:tcPr>
            <w:tcW w:type="dxa" w:w="3456"/>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Perceptual hash (pHash)</w:t>
            </w:r>
          </w:p>
        </w:tc>
        <w:tc>
          <w:tcPr>
            <w:tcW w:type="dxa" w:w="3456"/>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0.00 (ROC-AUC 0.51, chance)</w:t>
            </w:r>
          </w:p>
        </w:tc>
        <w:tc>
          <w:tcPr>
            <w:tcW w:type="dxa" w:w="3456"/>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0.00</w:t>
            </w:r>
          </w:p>
        </w:tc>
      </w:tr>
      <w:tr>
        <w:trPr>
          <w:tblHeader w:val="false"/>
        </w:trPr>
        <w:tc>
          <w:tcPr>
            <w:tcW w:type="dxa" w:w="3456"/>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ORB, raw inlier count</w:t>
            </w:r>
          </w:p>
        </w:tc>
        <w:tc>
          <w:tcPr>
            <w:tcW w:type="dxa" w:w="3456"/>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0.18</w:t>
            </w:r>
          </w:p>
        </w:tc>
        <w:tc>
          <w:tcPr>
            <w:tcW w:type="dxa" w:w="3456"/>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0.00</w:t>
            </w:r>
          </w:p>
        </w:tc>
      </w:tr>
      <w:tr>
        <w:trPr>
          <w:tblHeader w:val="false"/>
        </w:trPr>
        <w:tc>
          <w:tcPr>
            <w:tcW w:type="dxa" w:w="3456"/>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ORB, verified (used)</w:t>
            </w:r>
          </w:p>
        </w:tc>
        <w:tc>
          <w:tcPr>
            <w:tcW w:type="dxa" w:w="3456"/>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1.00 (ROC-AUC 1.000)</w:t>
            </w:r>
          </w:p>
        </w:tc>
        <w:tc>
          <w:tcPr>
            <w:tcW w:type="dxa" w:w="3456"/>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0.93 (ROC-AUC 0.961)</w:t>
            </w:r>
          </w:p>
        </w:tc>
      </w:tr>
    </w:tbl>
    <w:p>
      <w:pPr>
        <w:sectPr>
          <w:type w:val="continuous"/>
          <w:pgSz w:w="12240" w:h="15840" w:orient="portrait"/>
          <w:pgMar w:top="1080" w:right="936" w:bottom="1440" w:left="936" w:header="708" w:footer="708" w:gutter="0"/>
          <w:pgNumType/>
          <w:cols w:num="1"/>
          <w:docGrid w:linePitch="360"/>
        </w:sectPr>
      </w:pPr>
    </w:p>
    <w:p>
      <w:pPr>
        <w:spacing w:after="100"/>
        <w:ind w:firstLine="260"/>
        <w:jc w:val="both"/>
      </w:pPr>
      <w:r>
        <w:rPr>
          <w:rFonts w:ascii="Times New Roman" w:cs="Times New Roman" w:eastAsia="Times New Roman" w:hAnsi="Times New Roman"/>
          <w:i w:val="false"/>
          <w:iCs w:val="false"/>
          <w:sz w:val="19"/>
          <w:szCs w:val="19"/>
        </w:rPr>
        <w:t xml:space="preserve">The held-out pool uses a new random seed, stronger distortion, and lower resolution, and was built after the verification rule was finalized, so it measures generalization rather than tuned-in performance.</w:t>
      </w:r>
    </w:p>
    <w:p>
      <w:pPr>
        <w:spacing w:after="120" w:before="200"/>
        <w:jc w:val="center"/>
      </w:pPr>
      <w:r>
        <w:rPr>
          <w:rFonts w:ascii="Times New Roman" w:cs="Times New Roman" w:eastAsia="Times New Roman" w:hAnsi="Times New Roman"/>
          <w:b/>
          <w:bCs/>
          <w:color w:val="000000"/>
          <w:sz w:val="20"/>
          <w:szCs w:val="20"/>
        </w:rPr>
        <w:t xml:space="preserve">VI. PROBLEMS FOUND DURING DEVELOPMENT</w:t>
      </w:r>
    </w:p>
    <w:p>
      <w:pPr>
        <w:spacing w:after="100"/>
        <w:ind w:firstLine="260"/>
        <w:jc w:val="both"/>
      </w:pPr>
      <w:r>
        <w:rPr>
          <w:rFonts w:ascii="Times New Roman" w:cs="Times New Roman" w:eastAsia="Times New Roman" w:hAnsi="Times New Roman"/>
          <w:i w:val="false"/>
          <w:iCs w:val="false"/>
          <w:sz w:val="19"/>
          <w:szCs w:val="19"/>
        </w:rPr>
        <w:t xml:space="preserve">We report every substantive problem found during this work, with the measured before/after effect, rather than only the final numbers.</w:t>
      </w:r>
    </w:p>
    <w:p>
      <w:pPr>
        <w:sectPr>
          <w:type w:val="continuous"/>
          <w:pgSz w:w="12240" w:h="15840" w:orient="portrait"/>
          <w:pgMar w:top="1080" w:right="936" w:bottom="1440" w:left="936" w:header="708" w:footer="708" w:gutter="0"/>
          <w:pgNumType/>
          <w:cols w:space="288" w:num="2" w:equalWidth="true"/>
          <w:docGrid w:linePitch="360"/>
        </w:sectPr>
      </w:pPr>
    </w:p>
    <w:p>
      <w:pPr>
        <w:spacing w:after="60" w:before="120"/>
        <w:jc w:val="center"/>
      </w:pPr>
      <w:r>
        <w:rPr>
          <w:rFonts w:ascii="Times New Roman" w:cs="Times New Roman" w:eastAsia="Times New Roman" w:hAnsi="Times New Roman"/>
          <w:b/>
          <w:bCs/>
          <w:sz w:val="16"/>
          <w:szCs w:val="16"/>
        </w:rPr>
        <w:t xml:space="preserve">TABLE VIII.  PROBLEMS FOUND AND FIXED</w:t>
      </w:r>
    </w:p>
    <w:tbl>
      <w:tblPr>
        <w:tblW w:type="dxa" w:w="10368"/>
        <w:tblBorders>
          <w:top w:val="single" w:color="000000" w:sz="4"/>
          <w:left w:val="none"/>
          <w:bottom w:val="single" w:color="000000" w:sz="4"/>
          <w:right w:val="none"/>
          <w:insideH w:val="single" w:color="999999" w:sz="2"/>
          <w:insideV w:val="none"/>
        </w:tblBorders>
      </w:tblPr>
      <w:tblGrid>
        <w:gridCol w:w="3456"/>
        <w:gridCol w:w="3456"/>
        <w:gridCol w:w="3456"/>
      </w:tblGrid>
      <w:tr>
        <w:trPr>
          <w:tblHeader/>
        </w:trPr>
        <w:tc>
          <w:tcPr>
            <w:tcW w:type="dxa" w:w="3456"/>
            <w:shd w:fill="D9D9D9" w:val="clear"/>
            <w:tcMar>
              <w:top w:type="dxa" w:w="40"/>
              <w:left w:type="dxa" w:w="60"/>
              <w:bottom w:type="dxa" w:w="40"/>
              <w:right w:type="dxa" w:w="60"/>
            </w:tcMar>
          </w:tcPr>
          <w:p>
            <w:pPr>
              <w:jc w:val="center"/>
            </w:pPr>
            <w:r>
              <w:rPr>
                <w:rFonts w:ascii="Times New Roman" w:cs="Times New Roman" w:eastAsia="Times New Roman" w:hAnsi="Times New Roman"/>
                <w:b/>
                <w:bCs/>
                <w:sz w:val="15"/>
                <w:szCs w:val="15"/>
              </w:rPr>
              <w:t xml:space="preserve">Problem</w:t>
            </w:r>
          </w:p>
        </w:tc>
        <w:tc>
          <w:tcPr>
            <w:tcW w:type="dxa" w:w="3456"/>
            <w:shd w:fill="D9D9D9" w:val="clear"/>
            <w:tcMar>
              <w:top w:type="dxa" w:w="40"/>
              <w:left w:type="dxa" w:w="60"/>
              <w:bottom w:type="dxa" w:w="40"/>
              <w:right w:type="dxa" w:w="60"/>
            </w:tcMar>
          </w:tcPr>
          <w:p>
            <w:pPr>
              <w:jc w:val="center"/>
            </w:pPr>
            <w:r>
              <w:rPr>
                <w:rFonts w:ascii="Times New Roman" w:cs="Times New Roman" w:eastAsia="Times New Roman" w:hAnsi="Times New Roman"/>
                <w:b/>
                <w:bCs/>
                <w:sz w:val="15"/>
                <w:szCs w:val="15"/>
              </w:rPr>
              <w:t xml:space="preserve">How it showed up</w:t>
            </w:r>
          </w:p>
        </w:tc>
        <w:tc>
          <w:tcPr>
            <w:tcW w:type="dxa" w:w="3456"/>
            <w:shd w:fill="D9D9D9" w:val="clear"/>
            <w:tcMar>
              <w:top w:type="dxa" w:w="40"/>
              <w:left w:type="dxa" w:w="60"/>
              <w:bottom w:type="dxa" w:w="40"/>
              <w:right w:type="dxa" w:w="60"/>
            </w:tcMar>
          </w:tcPr>
          <w:p>
            <w:pPr>
              <w:jc w:val="center"/>
            </w:pPr>
            <w:r>
              <w:rPr>
                <w:rFonts w:ascii="Times New Roman" w:cs="Times New Roman" w:eastAsia="Times New Roman" w:hAnsi="Times New Roman"/>
                <w:b/>
                <w:bCs/>
                <w:sz w:val="15"/>
                <w:szCs w:val="15"/>
              </w:rPr>
              <w:t xml:space="preserve">Fix / measured effect</w:t>
            </w:r>
          </w:p>
        </w:tc>
      </w:tr>
      <w:tr>
        <w:trPr>
          <w:tblHeader w:val="false"/>
        </w:trPr>
        <w:tc>
          <w:tcPr>
            <w:tcW w:type="dxa" w:w="3456"/>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Random cross-validation let a text classifier memorize exam papers</w:t>
            </w:r>
          </w:p>
        </w:tc>
        <w:tc>
          <w:tcPr>
            <w:tcW w:type="dxa" w:w="3456"/>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ROC-AUC 1.00 in a pilot</w:t>
            </w:r>
          </w:p>
        </w:tc>
        <w:tc>
          <w:tcPr>
            <w:tcW w:type="dxa" w:w="3456"/>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Leave-one-paper-out CV (Section IV-A)</w:t>
            </w:r>
          </w:p>
        </w:tc>
      </w:tr>
      <w:tr>
        <w:trPr>
          <w:tblHeader w:val="false"/>
        </w:trPr>
        <w:tc>
          <w:tcPr>
            <w:tcW w:type="dxa" w:w="3456"/>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Generator artifacts (scams and real leaks used different phrase vocabularies; IDs encoded ground-truth role)</w:t>
            </w:r>
          </w:p>
        </w:tc>
        <w:tc>
          <w:tcPr>
            <w:tcW w:type="dxa" w:w="3456"/>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Trivially separable by superficial cues unrelated to leak content</w:t>
            </w:r>
          </w:p>
        </w:tc>
        <w:tc>
          <w:tcPr>
            <w:tcW w:type="dxa" w:w="3456"/>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Unified vocabulary; neutral account/group IDs</w:t>
            </w:r>
          </w:p>
        </w:tc>
      </w:tr>
      <w:tr>
        <w:trPr>
          <w:tblHeader w:val="false"/>
        </w:trPr>
        <w:tc>
          <w:tcPr>
            <w:tcW w:type="dxa" w:w="3456"/>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Answer-key regex failed on a common format (word boundary bug)</w:t>
            </w:r>
          </w:p>
        </w:tc>
        <w:tc>
          <w:tcPr>
            <w:tcW w:type="dxa" w:w="3456"/>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Answer-key AUC 0.485</w:t>
            </w:r>
          </w:p>
        </w:tc>
        <w:tc>
          <w:tcPr>
            <w:tcW w:type="dxa" w:w="3456"/>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Fixed regex; AUC 1.000</w:t>
            </w:r>
          </w:p>
        </w:tc>
      </w:tr>
      <w:tr>
        <w:trPr>
          <w:tblHeader w:val="false"/>
        </w:trPr>
        <w:tc>
          <w:tcPr>
            <w:tcW w:type="dxa" w:w="3456"/>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Raw ORB inlier counts matched the shared page template, not page content</w:t>
            </w:r>
          </w:p>
        </w:tc>
        <w:tc>
          <w:tcPr>
            <w:tcW w:type="dxa" w:w="3456"/>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Up to 138 false inliers against the wrong paper's page</w:t>
            </w:r>
          </w:p>
        </w:tc>
        <w:tc>
          <w:tcPr>
            <w:tcW w:type="dxa" w:w="3456"/>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Page-specificity + post-warp pixel-agreement verification</w:t>
            </w:r>
          </w:p>
        </w:tc>
      </w:tr>
      <w:tr>
        <w:trPr>
          <w:tblHeader w:val="false"/>
        </w:trPr>
        <w:tc>
          <w:tcPr>
            <w:tcW w:type="dxa" w:w="3456"/>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pHash received a negative fusion weight</w:t>
            </w:r>
          </w:p>
        </w:tc>
        <w:tc>
          <w:tcPr>
            <w:tcW w:type="dxa" w:w="3456"/>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Had learned “more photos = coaching channel,” not real content</w:t>
            </w:r>
          </w:p>
        </w:tc>
        <w:tc>
          <w:tcPr>
            <w:tcW w:type="dxa" w:w="3456"/>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Removed from fusion; kept only for benchmark comparison (Table VII)</w:t>
            </w:r>
          </w:p>
        </w:tc>
      </w:tr>
      <w:tr>
        <w:trPr>
          <w:tblHeader w:val="false"/>
        </w:trPr>
        <w:tc>
          <w:tcPr>
            <w:tcW w:type="dxa" w:w="3456"/>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Streaming false alarms</w:t>
            </w:r>
          </w:p>
        </w:tc>
        <w:tc>
          <w:tcPr>
            <w:tcW w:type="dxa" w:w="3456"/>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80% of normal channels alerted at some checkpoint in the first streaming evaluation</w:t>
            </w:r>
          </w:p>
        </w:tc>
        <w:tc>
          <w:tcPr>
            <w:tcW w:type="dxa" w:w="3456"/>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Trained on truncated session prefixes (Section III-C); 1.5% after the fix</w:t>
            </w:r>
          </w:p>
        </w:tc>
      </w:tr>
    </w:tbl>
    <w:p>
      <w:pPr>
        <w:sectPr>
          <w:type w:val="continuous"/>
          <w:pgSz w:w="12240" w:h="15840" w:orient="portrait"/>
          <w:pgMar w:top="1080" w:right="936" w:bottom="1440" w:left="936" w:header="708" w:footer="708" w:gutter="0"/>
          <w:pgNumType/>
          <w:cols w:num="1"/>
          <w:docGrid w:linePitch="360"/>
        </w:sectPr>
      </w:pPr>
    </w:p>
    <w:p>
      <w:pPr>
        <w:spacing w:after="120" w:before="200"/>
        <w:jc w:val="center"/>
      </w:pPr>
      <w:r>
        <w:rPr>
          <w:rFonts w:ascii="Times New Roman" w:cs="Times New Roman" w:eastAsia="Times New Roman" w:hAnsi="Times New Roman"/>
          <w:b/>
          <w:bCs/>
          <w:color w:val="000000"/>
          <w:sz w:val="20"/>
          <w:szCs w:val="20"/>
        </w:rPr>
        <w:t xml:space="preserve">VII. DISCUSSION AND LIMITATIONS</w:t>
      </w:r>
    </w:p>
    <w:p>
      <w:pPr>
        <w:spacing w:after="100"/>
        <w:ind w:firstLine="260"/>
        <w:jc w:val="both"/>
      </w:pPr>
      <w:r>
        <w:rPr>
          <w:rFonts w:ascii="Times New Roman" w:cs="Times New Roman" w:eastAsia="Times New Roman" w:hAnsi="Times New Roman"/>
          <w:i w:val="false"/>
          <w:iCs w:val="false"/>
          <w:sz w:val="19"/>
          <w:szCs w:val="19"/>
        </w:rPr>
        <w:t xml:space="preserve">The evidence supports three specific claims: matching against a committed reference is what makes detection strong (removing it costs 0.27 F1, the largest ablation effect measured); anomaly and structure signals are real but weak on their own, on both our synthetic data and real Twitter cascades; and the system is robust exactly where naive approaches break — the keyword baseline false-alarms on 100% of the fake-leak-scam scenario (which imitates leak language without leaking anything), while our fused model false-alarms on 1%.</w:t>
      </w:r>
    </w:p>
    <w:p>
      <w:pPr>
        <w:spacing w:after="100"/>
        <w:ind w:firstLine="260"/>
        <w:jc w:val="both"/>
      </w:pPr>
      <w:r>
        <w:rPr>
          <w:rFonts w:ascii="Times New Roman" w:cs="Times New Roman" w:eastAsia="Times New Roman" w:hAnsi="Times New Roman"/>
          <w:i w:val="false"/>
          <w:iCs w:val="false"/>
          <w:sz w:val="19"/>
          <w:szCs w:val="19"/>
        </w:rPr>
        <w:t xml:space="preserve">We state the following limitations without qualification. Coordination-only leaks — where the leaked paper itself never appears in any monitored channel, only talk about a leak does — are not detected (0% recall); this is a fundamental limit of channel monitoring, not a defect to be engineered around, and is precisely why the custody-layer prevention described in the companion paper [1] exists as a first line of defense rather than relying on detection alone. Hinglish/code-mixed rewording is the weakest content-matching case (0.30 recall at 1% FPR); a multilingual encoder is the natural next step. All session-level behavior (who posts what, when) is simulated, calibrated to public reporting on the 2026 NEET-UG leak but not drawn from any real monitored channel — reported numbers on real monitoring data would likely be lower, and this should be stated to any audience evaluating this work. Phone-camera photos are simulated; a small real-photo evaluation script is provided separately for anyone wishing to test the image branch against genuine photographs. The semantic-matching model is a small, static-token embedding, not a transformer encoder, and it underperforms plain character n-grams on the standard paraphrase benchmark (Section V-E) — this is disclosed rather than hidden, and a larger encoder is expected to close this gap at the cost of requiring network access to download model weights, which was unavailable in our build environment. The propagation-graph branch contributes little on this benchmark (0.003–0.01 F1 in ablation) and is near chance on real Twitter cascades when used text-blind, and is kept as a supporting signal rather than a primary detector for exactly this reason.</w:t>
      </w:r>
    </w:p>
    <w:p>
      <w:pPr>
        <w:spacing w:after="120" w:before="200"/>
        <w:jc w:val="center"/>
      </w:pPr>
      <w:r>
        <w:rPr>
          <w:rFonts w:ascii="Times New Roman" w:cs="Times New Roman" w:eastAsia="Times New Roman" w:hAnsi="Times New Roman"/>
          <w:b/>
          <w:bCs/>
          <w:color w:val="000000"/>
          <w:sz w:val="20"/>
          <w:szCs w:val="20"/>
        </w:rPr>
        <w:t xml:space="preserve">VIII. ETHICAL CONSIDERATIONS</w:t>
      </w:r>
    </w:p>
    <w:p>
      <w:pPr>
        <w:shd w:fill="FFF3B0" w:val="clear"/>
        <w:spacing w:after="100"/>
        <w:ind w:firstLine="260"/>
        <w:jc w:val="both"/>
      </w:pPr>
      <w:r>
        <w:rPr>
          <w:rFonts w:ascii="Times New Roman" w:cs="Times New Roman" w:eastAsia="Times New Roman" w:hAnsi="Times New Roman"/>
          <w:i/>
          <w:iCs/>
          <w:color w:val="7A5C00"/>
          <w:sz w:val="19"/>
          <w:szCs w:val="19"/>
        </w:rPr>
        <w:t xml:space="preserve">[PLACEHOLDER — 1 short paragraph: note that the simulated leak-channel data is synthetic and no real private message data was collected or used; that any real deployment of the monitoring component requires the legal/privacy framework discussed in the companion paper [1]; and that this paper reports detection evidence feeding a human decision, not automated action against individuals. Confirm with your advisor whether an ethics statement of a specific required form applies at your venue.]</w:t>
      </w:r>
    </w:p>
    <w:p>
      <w:pPr>
        <w:spacing w:after="120" w:before="200"/>
        <w:jc w:val="center"/>
      </w:pPr>
      <w:r>
        <w:rPr>
          <w:rFonts w:ascii="Times New Roman" w:cs="Times New Roman" w:eastAsia="Times New Roman" w:hAnsi="Times New Roman"/>
          <w:b/>
          <w:bCs/>
          <w:color w:val="000000"/>
          <w:sz w:val="20"/>
          <w:szCs w:val="20"/>
        </w:rPr>
        <w:t xml:space="preserve">IX. CONCLUSION</w:t>
      </w:r>
    </w:p>
    <w:p>
      <w:pPr>
        <w:shd w:fill="FFF3B0" w:val="clear"/>
        <w:spacing w:after="100"/>
        <w:ind w:firstLine="260"/>
        <w:jc w:val="both"/>
      </w:pPr>
      <w:r>
        <w:rPr>
          <w:rFonts w:ascii="Times New Roman" w:cs="Times New Roman" w:eastAsia="Times New Roman" w:hAnsi="Times New Roman"/>
          <w:i/>
          <w:iCs/>
          <w:color w:val="7A5C00"/>
          <w:sz w:val="19"/>
          <w:szCs w:val="19"/>
        </w:rPr>
        <w:t xml:space="preserve">[PLACEHOLDER — 1 paragraph: restate F1 = 0.920 ± 0.016 with the leave-one-paper-out protocol, that the central claim (content-matching against a committed reference dominates) is measured via ablation rather than assumed, that both neural branches were validated against real-world data outside the simulated pipeline, and point to Section VII for what should temper how these numbers are read.]</w:t>
      </w:r>
    </w:p>
    <w:p>
      <w:pPr>
        <w:spacing w:after="120" w:before="200"/>
        <w:jc w:val="center"/>
      </w:pPr>
      <w:r>
        <w:rPr>
          <w:rFonts w:ascii="Times New Roman" w:cs="Times New Roman" w:eastAsia="Times New Roman" w:hAnsi="Times New Roman"/>
          <w:b/>
          <w:bCs/>
          <w:color w:val="000000"/>
          <w:sz w:val="20"/>
          <w:szCs w:val="20"/>
        </w:rPr>
        <w:t xml:space="preserve">REFERENCES</w:t>
      </w:r>
    </w:p>
    <w:p>
      <w:pPr>
        <w:spacing w:after="60"/>
        <w:ind w:left="260" w:hanging="260"/>
        <w:jc w:val="both"/>
      </w:pPr>
      <w:r>
        <w:rPr>
          <w:rFonts w:ascii="Times New Roman" w:cs="Times New Roman" w:eastAsia="Times New Roman" w:hAnsi="Times New Roman"/>
          <w:sz w:val="18"/>
          <w:szCs w:val="18"/>
        </w:rPr>
        <w:t xml:space="preserve">[1] [PLACEHOLDER — self-citation to the companion custody/systems paper once both have final titles/venues, or “companion paper, under review” if submitted together.]</w:t>
      </w:r>
    </w:p>
    <w:p>
      <w:pPr>
        <w:spacing w:after="60"/>
        <w:ind w:left="260" w:hanging="260"/>
        <w:jc w:val="both"/>
      </w:pPr>
      <w:r>
        <w:rPr>
          <w:rFonts w:ascii="Times New Roman" w:cs="Times New Roman" w:eastAsia="Times New Roman" w:hAnsi="Times New Roman"/>
          <w:sz w:val="18"/>
          <w:szCs w:val="18"/>
        </w:rPr>
        <w:t xml:space="preserve">[2] D. Arora, H. Singh, and Mausam, “Have LLMs Advanced Enough? A Challenging Problem Solving Benchmark For Large Language Models,” in Proc. EMNLP, 2023, pp. 7527–7543.</w:t>
      </w:r>
    </w:p>
    <w:p>
      <w:pPr>
        <w:spacing w:after="60"/>
        <w:ind w:left="260" w:hanging="260"/>
        <w:jc w:val="both"/>
      </w:pPr>
      <w:r>
        <w:rPr>
          <w:rFonts w:ascii="Times New Roman" w:cs="Times New Roman" w:eastAsia="Times New Roman" w:hAnsi="Times New Roman"/>
          <w:sz w:val="18"/>
          <w:szCs w:val="18"/>
        </w:rPr>
        <w:t xml:space="preserve">[3] J. Ma, W. Gao, and K.-F. Wong, “Detect Rumors in Microblog Posts Using Propagation Structure via Kernel Learning,” in Proc. ACL, 2017, pp. 708–717.</w:t>
      </w:r>
    </w:p>
    <w:p>
      <w:pPr>
        <w:spacing w:after="60"/>
        <w:ind w:left="260" w:hanging="260"/>
        <w:jc w:val="both"/>
      </w:pPr>
      <w:r>
        <w:rPr>
          <w:rFonts w:ascii="Times New Roman" w:cs="Times New Roman" w:eastAsia="Times New Roman" w:hAnsi="Times New Roman"/>
          <w:sz w:val="18"/>
          <w:szCs w:val="18"/>
        </w:rPr>
        <w:t xml:space="preserve">[4] T. Bian, X. Xiao, T. Xu, P. Zhao, W. Huang, Y. Rong, and J. Huang, “Rumor Detection on Social Media with Bi-Directional Graph Convolutional Networks,” in Proc. AAAI, vol. 34, no. 01, 2020, pp. 549–556.</w:t>
      </w:r>
    </w:p>
    <w:p>
      <w:pPr>
        <w:spacing w:after="60"/>
        <w:ind w:left="260" w:hanging="260"/>
        <w:jc w:val="both"/>
      </w:pPr>
      <w:r>
        <w:rPr>
          <w:rFonts w:ascii="Times New Roman" w:cs="Times New Roman" w:eastAsia="Times New Roman" w:hAnsi="Times New Roman"/>
          <w:sz w:val="18"/>
          <w:szCs w:val="18"/>
        </w:rPr>
        <w:t xml:space="preserve">[5] [Same as [3] — cited separately in text where the dataset vs. the method are referenced distinctly; merge in final pass if your venue prefers a single combined entry.]</w:t>
      </w:r>
    </w:p>
    <w:p>
      <w:pPr>
        <w:spacing w:after="60"/>
        <w:ind w:left="260" w:hanging="260"/>
        <w:jc w:val="both"/>
      </w:pPr>
      <w:r>
        <w:rPr>
          <w:rFonts w:ascii="Times New Roman" w:cs="Times New Roman" w:eastAsia="Times New Roman" w:hAnsi="Times New Roman"/>
          <w:sz w:val="18"/>
          <w:szCs w:val="18"/>
        </w:rPr>
        <w:t xml:space="preserve">[6] W. L. Hamilton, R. Ying, and J. Leskovec, “Inductive Representation Learning on Large Graphs,” in Proc. NeurIPS, 2017, pp. 1024–1034.</w:t>
      </w:r>
    </w:p>
    <w:p>
      <w:pPr>
        <w:spacing w:after="60"/>
        <w:ind w:left="260" w:hanging="260"/>
        <w:jc w:val="both"/>
      </w:pPr>
      <w:r>
        <w:rPr>
          <w:rFonts w:ascii="Times New Roman" w:cs="Times New Roman" w:eastAsia="Times New Roman" w:hAnsi="Times New Roman"/>
          <w:sz w:val="18"/>
          <w:szCs w:val="18"/>
        </w:rPr>
        <w:t xml:space="preserve">[7] R. Ying, D. Bourgeois, J. You, M. Zitnik, and J. Leskovec, “GNNExplainer: Generating Explanations for Graph Neural Networks,” in Proc. NeurIPS, 2019, pp. 9240–9251.</w:t>
      </w:r>
    </w:p>
    <w:p>
      <w:pPr>
        <w:spacing w:after="60"/>
        <w:ind w:left="260" w:hanging="260"/>
        <w:jc w:val="both"/>
      </w:pPr>
      <w:r>
        <w:rPr>
          <w:rFonts w:ascii="Times New Roman" w:cs="Times New Roman" w:eastAsia="Times New Roman" w:hAnsi="Times New Roman"/>
          <w:sz w:val="18"/>
          <w:szCs w:val="18"/>
        </w:rPr>
        <w:t xml:space="preserve">[8] W. B. Dolan and C. Brockett, “Automatically Constructing a Corpus of Sentential Paraphrases,” in Proc. 3rd Int. Workshop on Paraphrasing (IWP), 2005, pp. 9–16.</w:t>
      </w:r>
    </w:p>
    <w:p>
      <w:pPr>
        <w:spacing w:after="60"/>
        <w:ind w:left="260" w:hanging="260"/>
        <w:jc w:val="both"/>
      </w:pPr>
      <w:r>
        <w:rPr>
          <w:rFonts w:ascii="Times New Roman" w:cs="Times New Roman" w:eastAsia="Times New Roman" w:hAnsi="Times New Roman"/>
          <w:sz w:val="18"/>
          <w:szCs w:val="18"/>
        </w:rPr>
        <w:t xml:space="preserve">[9] [PLACEHOLDER — “Student Cheating Detection in Higher Education by Implementing Machine Learning and LSTM Techniques,” PMC, 2023. Confirm exact author/journal details before submission.]</w:t>
      </w:r>
    </w:p>
    <w:p>
      <w:pPr>
        <w:spacing w:after="60"/>
        <w:ind w:left="260" w:hanging="260"/>
        <w:jc w:val="both"/>
      </w:pPr>
      <w:r>
        <w:rPr>
          <w:rFonts w:ascii="Times New Roman" w:cs="Times New Roman" w:eastAsia="Times New Roman" w:hAnsi="Times New Roman"/>
          <w:sz w:val="18"/>
          <w:szCs w:val="18"/>
        </w:rPr>
        <w:t xml:space="preserve">[10] [PLACEHOLDER — “Machine learning based approach to exam cheating detection,” PLOS ONE, 2021. Confirm exact author details before submission.]</w:t>
      </w:r>
    </w:p>
    <w:sectPr>
      <w:type w:val="continuous"/>
      <w:pgSz w:w="12240" w:h="15840" w:orient="portrait"/>
      <w:pgMar w:top="1080" w:right="936" w:bottom="1440" w:left="936" w:header="708" w:footer="708" w:gutter="0"/>
      <w:pgNumType/>
      <w:cols w:space="288"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2026-09-26T16:17:30.527Z</dcterms:created>
  <dcterms:modified xsi:type="dcterms:W3CDTF">2026-09-26T16:17:30.527Z</dcterms:modified>
</cp:coreProperties>
</file>

<file path=docProps/custom.xml><?xml version="1.0" encoding="utf-8"?>
<Properties xmlns="http://schemas.openxmlformats.org/officeDocument/2006/custom-properties" xmlns:vt="http://schemas.openxmlformats.org/officeDocument/2006/docPropsVTypes"/>
</file>