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74B5"/>
          <w:sz w:val="22"/>
          <w:szCs w:val="22"/>
        </w:rPr>
        <w:t xml:space="preserve">Phase 6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Project Documentation</w:t>
      </w:r>
    </w:p>
    <w:p>
      <w:pPr>
        <w:pStyle w:val="Heading2"/>
        <w:spacing w:after="140" w:before="280"/>
      </w:pPr>
      <w:r>
        <w:t xml:space="preserve">Project Documentation Format</w:t>
      </w:r>
    </w:p>
    <w:p>
      <w:pPr>
        <w:spacing w:after="150"/>
        <w:jc w:val="both"/>
      </w:pPr>
      <w:r>
        <w:rPr>
          <w:b w:val="false"/>
          <w:bCs w:val="false"/>
          <w:i/>
          <w:iCs/>
        </w:rPr>
        <w:t xml:space="preserve">(Adapted from the Full-Stack Development documentation format for a zero-code, native ServiceNow platform solution.)</w:t>
      </w:r>
    </w:p>
    <w:p>
      <w:pPr>
        <w:pStyle w:val="Heading3"/>
        <w:spacing w:after="90" w:before="180"/>
      </w:pPr>
      <w:r>
        <w:t xml:space="preserve">1. Introduction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Project Title: Virtual Agent–Driven SLA Breach Awareness &amp; Justification System</w:t>
      </w:r>
    </w:p>
    <w:p>
      <w:pPr>
        <w:spacing w:after="150"/>
      </w:pPr>
      <w:r>
        <w:rPr>
          <w:i/>
          <w:iCs/>
          <w:color w:val="888888"/>
        </w:rPr>
        <w:t xml:space="preserve">Team Members: [List team members and their roles]</w:t>
      </w:r>
    </w:p>
    <w:p>
      <w:pPr>
        <w:pStyle w:val="Heading3"/>
        <w:spacing w:after="90" w:before="180"/>
      </w:pPr>
      <w:r>
        <w:t xml:space="preserve">2. Project Overview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Purpose: To proactively detect SLA breach risk, enforce breach accountability through mandatory justification, guide assignees via a conversational Virtual Agent, and give leadership real-time visibility into SLA performance — all without custom code.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Features: Automated SLA risk detection, Virtual Agent guided acknowledgement, mandatory breach justification (UI Policy), role-based access control (ACL), an executive Performance Analytics dashboard, configurable per-SLA thresholds, and manager escalation for unacknowledged risk.</w:t>
      </w:r>
    </w:p>
    <w:p>
      <w:pPr>
        <w:pStyle w:val="Heading3"/>
        <w:spacing w:after="90" w:before="180"/>
      </w:pPr>
      <w:r>
        <w:t xml:space="preserve">3. Architecture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Platform (in place of a traditional frontend/backend/database split, this solution runs entirely natively within ServiceNow):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"Frontend" equivalent: ServiceNow Service Portal / Now Experience UI and the Virtual Agent chat widget, through which assignees view alerts and interact with governance prompts.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"Backend" equivalent: Flow Designer flows/subflows (SLA Risk Monitor), UI Policies, and Business Rules implementing all process logic declaratively.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"Database" equivalent: Native ServiceNow platform tables — Task/Incident, SLA definitions, and the system audit table (sys_audit) — storing all governance and justification data.</w:t>
      </w:r>
    </w:p>
    <w:p>
      <w:pPr>
        <w:spacing w:after="60" w:before="100"/>
        <w:jc w:val="center"/>
      </w:pPr>
      <w:r>
        <w:drawing>
          <wp:inline distT="0" distB="0" distL="0" distR="0">
            <wp:extent cx="4191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6.1 — Platform Architecture</w:t>
      </w:r>
    </w:p>
    <w:p>
      <w:pPr>
        <w:pStyle w:val="Heading3"/>
        <w:spacing w:after="90" w:before="180"/>
      </w:pPr>
      <w:r>
        <w:t xml:space="preserve">4. Setup Instructions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Prerequisites: A ServiceNow instance (sub-production/developer instance recommended) with admin access, Flow Designer, Virtual Agent, and Performance Analytics plugins active.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Installation: Import the exported Update Set containing the SLA Risk Monitor flow, UI Policies, ACLs, and Virtual Agent topic; commit to the target instance; configure SLA threshold values and role assignments for your environment.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1: Retrieve Update Set XML from the source instance or repository.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2: Navigate to System Update Sets &gt; Retrieved Update Sets and import the XML.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3: Preview and commit the Update Set, resolving any collisions with existing configuration.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4: Configure SLA threshold values under the SLA Risk Monitor flow's input variables.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Step 5: Assign the Assignee, Manager, and Auditor roles to the appropriate user groups.</w:t>
      </w:r>
    </w:p>
    <w:p>
      <w:pPr>
        <w:pStyle w:val="Heading3"/>
        <w:spacing w:after="90" w:before="180"/>
      </w:pPr>
      <w:r>
        <w:t xml:space="preserve">5. Folder / Configuration Structure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Flow Designer: SLA Risk Monitor flow and supporting subflows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UI Policies: Breach justification enforcement rules on the Incident/Task form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Access Control: ACL rules restricting SLA-field edits to the assignee role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Virtual Agent: Guided-conversation topic for SLA-risk acknowledgement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Reports/Dashboards: Performance Analytics widgets for the executive dashboard</w:t>
      </w:r>
    </w:p>
    <w:p>
      <w:pPr>
        <w:pStyle w:val="Heading3"/>
        <w:spacing w:after="90" w:before="180"/>
      </w:pPr>
      <w:r>
        <w:t xml:space="preserve">6. Running the Application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No local build or server start is required — the solution runs live within the ServiceNow instance once the Update Set is committed and SLA definitions/thresholds are configured. Agents interact with it directly through their existing Agent Workspace and notification channels; no separate login or application is needed.</w:t>
      </w:r>
    </w:p>
    <w:p>
      <w:pPr>
        <w:pStyle w:val="Heading3"/>
        <w:spacing w:after="90" w:before="180"/>
      </w:pPr>
      <w:r>
        <w:t xml:space="preserve">7. API / Integration Documentation</w:t>
      </w:r>
    </w:p>
    <w:p>
      <w:pPr>
        <w:spacing w:after="150"/>
      </w:pPr>
      <w:r>
        <w:rPr>
          <w:i/>
          <w:iCs/>
          <w:color w:val="888888"/>
        </w:rPr>
        <w:t xml:space="preserve">Document any Flow Designer REST/Integration steps or external notification endpoints used, if applicable. Not applicable if the solution is fully self-contained within ServiceNow.</w:t>
      </w:r>
    </w:p>
    <w:p>
      <w:pPr>
        <w:pStyle w:val="Heading3"/>
        <w:spacing w:after="90" w:before="180"/>
      </w:pPr>
      <w:r>
        <w:t xml:space="preserve">8. Authentication &amp; Authorization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Authentication is handled by native ServiceNow platform login (SSO/LDAP as configured on the instance). Authorization is enforced through role-based Access Control Lists (ACLs): only the assignee role may edit SLA-critical fields, while manager and auditor roles retain read-only visibility. Justification entries become non-editable once submitted, preserving audit integrity.</w:t>
      </w:r>
    </w:p>
    <w:p>
      <w:pPr>
        <w:pStyle w:val="Heading3"/>
        <w:spacing w:after="90" w:before="180"/>
      </w:pPr>
      <w:r>
        <w:t xml:space="preserve">9. User Interface</w:t>
      </w:r>
    </w:p>
    <w:p>
      <w:pPr>
        <w:spacing w:after="150"/>
      </w:pPr>
      <w:r>
        <w:rPr>
          <w:i/>
          <w:iCs/>
          <w:color w:val="888888"/>
        </w:rPr>
        <w:t xml:space="preserve">Insert screenshots or GIFs of: the SLA-risk alert, the Virtual Agent conversation, the UI Policy-enforced justification field, and the executive dashboard.</w:t>
      </w:r>
    </w:p>
    <w:p>
      <w:pPr>
        <w:pStyle w:val="Heading3"/>
        <w:spacing w:after="90" w:before="180"/>
      </w:pPr>
      <w:r>
        <w:t xml:space="preserve">10. Testing</w:t>
      </w:r>
    </w:p>
    <w:p>
      <w:pPr>
        <w:spacing w:after="150"/>
        <w:jc w:val="both"/>
      </w:pPr>
      <w:r>
        <w:rPr>
          <w:b w:val="false"/>
          <w:bCs w:val="false"/>
          <w:i w:val="false"/>
          <w:iCs w:val="false"/>
        </w:rPr>
        <w:t xml:space="preserve">Testing strategy and tools are documented in full under Phase 5 — Project Development Phase (Functional &amp; Performance Testing / UAT), covering 10 functional test cases, 5 performance metrics, and bug tracking with sign-off procedures.</w:t>
      </w:r>
    </w:p>
    <w:p>
      <w:pPr>
        <w:pStyle w:val="Heading3"/>
        <w:spacing w:after="90" w:before="180"/>
      </w:pPr>
      <w:r>
        <w:t xml:space="preserve">11. Screenshots or Demo</w:t>
      </w:r>
    </w:p>
    <w:p>
      <w:pPr>
        <w:spacing w:after="150"/>
      </w:pPr>
      <w:r>
        <w:rPr>
          <w:i/>
          <w:iCs/>
          <w:color w:val="888888"/>
        </w:rPr>
        <w:t xml:space="preserve">Insert screenshots or a link to a demo video showcasing the end-to-end SLA governance flow.</w:t>
      </w:r>
    </w:p>
    <w:p>
      <w:pPr>
        <w:pStyle w:val="Heading3"/>
        <w:spacing w:after="90" w:before="180"/>
      </w:pPr>
      <w:r>
        <w:t xml:space="preserve">12. Known Issues</w:t>
      </w:r>
    </w:p>
    <w:p>
      <w:pPr>
        <w:spacing w:after="150"/>
      </w:pPr>
      <w:r>
        <w:rPr>
          <w:i/>
          <w:iCs/>
          <w:color w:val="888888"/>
        </w:rPr>
        <w:t xml:space="preserve">Document any known bugs, limitations, or configuration caveats (e.g., threshold tuning needed to avoid alert fatigue, or NLU intent conflicts in the Virtual Agent topic).</w:t>
      </w:r>
    </w:p>
    <w:p>
      <w:pPr>
        <w:pStyle w:val="Heading3"/>
        <w:spacing w:after="90" w:before="180"/>
      </w:pPr>
      <w:r>
        <w:t xml:space="preserve">13. Future Enhancements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Extend SLA governance beyond Incident/Task tables to HRSD, CSM, and custom applications.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Introduce predictive SLA-breach risk scoring using ServiceNow Predictive Intelligence.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Add manager escalation paths and automated re-assignment for high-risk SLAs.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Expand the Virtual Agent to support proactive coaching based on historical breach patterns.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Package the framework as a scoped application for distribution via the ServiceNow Store or as an internal accelerator template.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Virtual Agent–Driven SLA Breach Awareness &amp; Justification System — Phase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90" w:before="3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5a692a03e443b3b2339794f84238956aa24a51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2026-07-11T02:37:11.315Z</dcterms:created>
  <dcterms:modified xsi:type="dcterms:W3CDTF">2026-07-11T02:37:11.315Z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