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2 — Requirement Analysis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January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90" w:before="180"/>
      </w:pPr>
      <w:r>
        <w:t xml:space="preserve">Functional Requirements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2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SLA % elapsed via Flow Designer
Flag records at configurable thresholds (e.g., 80%)
Support distinct thresholds per SLA definition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&amp; Engagement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real-time notification to assignee
Trigger Virtual Agent conversation for acknowledgement
Escalate to manager if unacknowledged within a configured window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Justification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mandatory justification field via UI Policy
Log justification to work notes automatically
Categorize breach reasons (e.g., vendor delay, resourcing, customer-caused)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SLA-field edits to assignee role via ACL
Provide read-only visibility to manager/auditor roles
Prevent edits to justification text after submission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Dashboards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dashboard for SLA trend and breach-rate
Accountability report by assignee/team
Exportable audit report for compliance reviews</w:t>
            </w:r>
          </w:p>
        </w:tc>
      </w:tr>
    </w:tbl>
    <w:p>
      <w:pPr>
        <w:pStyle w:val="Heading3"/>
        <w:spacing w:after="90" w:before="180"/>
      </w:pPr>
      <w:r>
        <w:t xml:space="preserve">Non-Functional Requirements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4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Guided, conversational interaction (Virtual Agent) requiring no technical training for assignees; alerts and prompts use plain, non-technical language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(ACLs) on all SLA governance fields and records; justification entries become read-only once submitted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 must trigger consistently for every record crossing the configured threshold, with no missed events under normal load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 latency under 1 minute; notification delivery under 2 minutes; dashboard refresh under 5 seconds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the standing ServiceNow instance; no dependency on external services or uptime beyond the platform's own SLA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Configurable thresholds and roles allow the framework to scale across tables, departments, and SLA definitions without additional engineering effort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risk acknowledgement, justification, and access attempt is captured in the native ServiceNow audit table for traceability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Delivered entirely through declarative configuration (Flow Designer, UI Policy, ACL, VA Designer) so it can be maintained by admins without developer support</w:t>
            </w:r>
          </w:p>
        </w:tc>
      </w:tr>
    </w:tbl>
    <w:p>
      <w:pPr>
        <w:pStyle w:val="Heading3"/>
        <w:spacing w:after="90" w:before="180"/>
      </w:pPr>
      <w:r>
        <w:t xml:space="preserve">Assumptions &amp; Constraints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solution assumes SLA definitions already exist and are correctly attached to the relevant Task/Incident records.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Threshold values (e.g., 80%) are configurable by an admin and are not hard-coded into the flow logic.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solution is scoped to native ServiceNow capabilities only; no custom scripting or third-party integrations are used in the core build.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Role definitions (Assignee, Manager, Auditor) are assumed to already exist or be creatable within the target instance's role hierarchy.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2026-07-11T02:37:11.214Z</dcterms:created>
  <dcterms:modified xsi:type="dcterms:W3CDTF">2026-07-11T02:37:11.214Z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