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74B5"/>
          <w:sz w:val="22"/>
          <w:szCs w:val="22"/>
        </w:rPr>
        <w:t xml:space="preserve">Phase 2 — Requirement Analysis</w:t>
      </w:r>
    </w:p>
    <w:p>
      <w:pPr>
        <w:spacing w:after="240"/>
      </w:pPr>
      <w:r>
        <w:rPr>
          <w:b/>
          <w:bCs/>
          <w:color w:val="1F3864"/>
          <w:sz w:val="40"/>
          <w:szCs w:val="40"/>
        </w:rPr>
        <w:t xml:space="preserve">Technology Stack (Architecture &amp;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color="auto" w:val="clear"/>
            <w:tcMar>
              <w:top w:type="dxa" w:w="70"/>
              <w:left w:type="dxa" w:w="110"/>
              <w:bottom w:type="dxa" w:w="70"/>
              <w:right w:type="dxa" w:w="110"/>
            </w:tcMar>
            <w:vAlign w:val="center"/>
          </w:tcPr>
          <w:p>
            <w:r>
              <w:rPr>
                <w:b/>
                <w:bCs/>
                <w:color w:val="FFFFFF"/>
                <w:sz w:val="20"/>
                <w:szCs w:val="20"/>
              </w:rPr>
              <w:t xml:space="preserve">Field</w:t>
            </w:r>
          </w:p>
        </w:tc>
        <w:tc>
          <w:tcPr>
            <w:tcW w:type="dxa" w:w="6800"/>
            <w:shd w:fill="1F3864" w:color="auto" w:val="clear"/>
            <w:tcMar>
              <w:top w:type="dxa" w:w="70"/>
              <w:left w:type="dxa" w:w="110"/>
              <w:bottom w:type="dxa" w:w="70"/>
              <w:right w:type="dxa" w:w="110"/>
            </w:tcMar>
            <w:vAlign w:val="center"/>
          </w:tcPr>
          <w:p>
            <w:r>
              <w:rPr>
                <w:b/>
                <w:bCs/>
                <w:color w:val="FFFFFF"/>
                <w:sz w:val="20"/>
                <w:szCs w:val="20"/>
              </w:rPr>
              <w:t xml:space="preserve">Value</w:t>
            </w:r>
          </w:p>
        </w:tc>
      </w:tr>
      <w:tr>
        <w:tc>
          <w:tcPr>
            <w:tcW w:type="dxa" w:w="2200"/>
            <w:shd w:fill="FFFFFF" w:color="auto" w:val="clear"/>
            <w:tcMar>
              <w:top w:type="dxa" w:w="70"/>
              <w:left w:type="dxa" w:w="110"/>
              <w:bottom w:type="dxa" w:w="70"/>
              <w:right w:type="dxa" w:w="110"/>
            </w:tcMar>
            <w:vAlign w:val="center"/>
          </w:tcPr>
          <w:p>
            <w:r>
              <w:rPr>
                <w:b w:val="false"/>
                <w:bCs w:val="false"/>
                <w:color w:val="000000"/>
                <w:sz w:val="20"/>
                <w:szCs w:val="20"/>
              </w:rPr>
              <w:t xml:space="preserve">Date</w:t>
            </w:r>
          </w:p>
        </w:tc>
        <w:tc>
          <w:tcPr>
            <w:tcW w:type="dxa" w:w="6800"/>
            <w:shd w:fill="FFFFFF" w:color="auto" w:val="clear"/>
            <w:tcMar>
              <w:top w:type="dxa" w:w="70"/>
              <w:left w:type="dxa" w:w="110"/>
              <w:bottom w:type="dxa" w:w="70"/>
              <w:right w:type="dxa" w:w="110"/>
            </w:tcMar>
            <w:vAlign w:val="center"/>
          </w:tcPr>
          <w:p>
            <w:r>
              <w:rPr>
                <w:b w:val="false"/>
                <w:bCs w:val="false"/>
                <w:color w:val="000000"/>
                <w:sz w:val="20"/>
                <w:szCs w:val="20"/>
              </w:rPr>
              <w:t xml:space="preserve">31 January 2026</w:t>
            </w:r>
          </w:p>
        </w:tc>
      </w:tr>
      <w:tr>
        <w:tc>
          <w:tcPr>
            <w:tcW w:type="dxa" w:w="2200"/>
            <w:shd w:fill="F2F2F2" w:color="auto" w:val="clear"/>
            <w:tcMar>
              <w:top w:type="dxa" w:w="70"/>
              <w:left w:type="dxa" w:w="110"/>
              <w:bottom w:type="dxa" w:w="70"/>
              <w:right w:type="dxa" w:w="110"/>
            </w:tcMar>
            <w:vAlign w:val="center"/>
          </w:tcPr>
          <w:p>
            <w:r>
              <w:rPr>
                <w:b w:val="false"/>
                <w:bCs w:val="false"/>
                <w:color w:val="000000"/>
                <w:sz w:val="20"/>
                <w:szCs w:val="20"/>
              </w:rPr>
              <w:t xml:space="preserve">Team ID</w:t>
            </w:r>
          </w:p>
        </w:tc>
        <w:tc>
          <w:tcPr>
            <w:tcW w:type="dxa" w:w="6800"/>
            <w:shd w:fill="F2F2F2" w:color="auto" w:val="clear"/>
            <w:tcMar>
              <w:top w:type="dxa" w:w="70"/>
              <w:left w:type="dxa" w:w="110"/>
              <w:bottom w:type="dxa" w:w="70"/>
              <w:right w:type="dxa" w:w="110"/>
            </w:tcMar>
            <w:vAlign w:val="center"/>
          </w:tcPr>
          <w:p>
            <w:r>
              <w:rPr>
                <w:b w:val="false"/>
                <w:bCs w:val="false"/>
                <w:color w:val="000000"/>
                <w:sz w:val="20"/>
                <w:szCs w:val="20"/>
              </w:rPr>
              <w:t xml:space="preserve">SWTID-2026-1543</w:t>
            </w:r>
          </w:p>
        </w:tc>
      </w:tr>
      <w:tr>
        <w:tc>
          <w:tcPr>
            <w:tcW w:type="dxa" w:w="2200"/>
            <w:shd w:fill="FFFFFF" w:color="auto" w:val="clear"/>
            <w:tcMar>
              <w:top w:type="dxa" w:w="70"/>
              <w:left w:type="dxa" w:w="110"/>
              <w:bottom w:type="dxa" w:w="70"/>
              <w:right w:type="dxa" w:w="110"/>
            </w:tcMar>
            <w:vAlign w:val="center"/>
          </w:tcPr>
          <w:p>
            <w:r>
              <w:rPr>
                <w:b w:val="false"/>
                <w:bCs w:val="false"/>
                <w:color w:val="000000"/>
                <w:sz w:val="20"/>
                <w:szCs w:val="20"/>
              </w:rPr>
              <w:t xml:space="preserve">Project Name</w:t>
            </w:r>
          </w:p>
        </w:tc>
        <w:tc>
          <w:tcPr>
            <w:tcW w:type="dxa" w:w="6800"/>
            <w:shd w:fill="FFFFFF" w:color="auto" w:val="clear"/>
            <w:tcMar>
              <w:top w:type="dxa" w:w="70"/>
              <w:left w:type="dxa" w:w="110"/>
              <w:bottom w:type="dxa" w:w="70"/>
              <w:right w:type="dxa" w:w="110"/>
            </w:tcMar>
            <w:vAlign w:val="center"/>
          </w:tcPr>
          <w:p>
            <w:r>
              <w:rPr>
                <w:b w:val="false"/>
                <w:bCs w:val="false"/>
                <w:color w:val="000000"/>
                <w:sz w:val="20"/>
                <w:szCs w:val="20"/>
              </w:rPr>
              <w:t xml:space="preserve">Virtual Agent–Driven SLA Breach Awareness &amp; Justification System</w:t>
            </w:r>
          </w:p>
        </w:tc>
      </w:tr>
      <w:tr>
        <w:tc>
          <w:tcPr>
            <w:tcW w:type="dxa" w:w="2200"/>
            <w:shd w:fill="F2F2F2" w:color="auto" w:val="clear"/>
            <w:tcMar>
              <w:top w:type="dxa" w:w="70"/>
              <w:left w:type="dxa" w:w="110"/>
              <w:bottom w:type="dxa" w:w="70"/>
              <w:right w:type="dxa" w:w="110"/>
            </w:tcMar>
            <w:vAlign w:val="center"/>
          </w:tcPr>
          <w:p>
            <w:r>
              <w:rPr>
                <w:b w:val="false"/>
                <w:bCs w:val="false"/>
                <w:color w:val="000000"/>
                <w:sz w:val="20"/>
                <w:szCs w:val="20"/>
              </w:rPr>
              <w:t xml:space="preserve">Maximum Marks</w:t>
            </w:r>
          </w:p>
        </w:tc>
        <w:tc>
          <w:tcPr>
            <w:tcW w:type="dxa" w:w="6800"/>
            <w:shd w:fill="F2F2F2" w:color="auto" w:val="clear"/>
            <w:tcMar>
              <w:top w:type="dxa" w:w="70"/>
              <w:left w:type="dxa" w:w="110"/>
              <w:bottom w:type="dxa" w:w="70"/>
              <w:right w:type="dxa" w:w="110"/>
            </w:tcMar>
            <w:vAlign w:val="center"/>
          </w:tcPr>
          <w:p>
            <w:r>
              <w:rPr>
                <w:b w:val="false"/>
                <w:bCs w:val="false"/>
                <w:color w:val="000000"/>
                <w:sz w:val="20"/>
                <w:szCs w:val="20"/>
              </w:rPr>
              <w:t xml:space="preserve">4 Marks</w:t>
            </w:r>
          </w:p>
        </w:tc>
      </w:tr>
    </w:tbl>
    <w:p>
      <w:pPr>
        <w:spacing w:after="150"/>
        <w:jc w:val="both"/>
      </w:pPr>
      <w:r>
        <w:rPr>
          <w:b w:val="false"/>
          <w:bCs w:val="false"/>
          <w:i w:val="false"/>
          <w:iCs w:val="false"/>
        </w:rPr>
        <w:t xml:space="preserve"/>
      </w:r>
    </w:p>
    <w:p>
      <w:pPr>
        <w:pStyle w:val="Heading3"/>
        <w:spacing w:after="90" w:before="180"/>
      </w:pPr>
      <w:r>
        <w:t xml:space="preserve">Table 1 — Components &amp; Technologies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200"/>
        <w:gridCol w:w="2900"/>
      </w:tblGrid>
      <w:tr>
        <w:trPr>
          <w:tblHeader/>
        </w:trPr>
        <w:tc>
          <w:tcPr>
            <w:tcW w:type="dxa" w:w="700"/>
            <w:shd w:fill="1F3864" w:color="auto" w:val="clear"/>
            <w:tcMar>
              <w:top w:type="dxa" w:w="70"/>
              <w:left w:type="dxa" w:w="110"/>
              <w:bottom w:type="dxa" w:w="70"/>
              <w:right w:type="dxa" w:w="110"/>
            </w:tcMar>
            <w:vAlign w:val="center"/>
          </w:tcPr>
          <w:p>
            <w:r>
              <w:rPr>
                <w:b/>
                <w:bCs/>
                <w:color w:val="FFFFFF"/>
                <w:sz w:val="20"/>
                <w:szCs w:val="20"/>
              </w:rPr>
              <w:t xml:space="preserve">S.No</w:t>
            </w:r>
          </w:p>
        </w:tc>
        <w:tc>
          <w:tcPr>
            <w:tcW w:type="dxa" w:w="2000"/>
            <w:shd w:fill="1F3864" w:color="auto" w:val="clear"/>
            <w:tcMar>
              <w:top w:type="dxa" w:w="70"/>
              <w:left w:type="dxa" w:w="110"/>
              <w:bottom w:type="dxa" w:w="70"/>
              <w:right w:type="dxa" w:w="110"/>
            </w:tcMar>
            <w:vAlign w:val="center"/>
          </w:tcPr>
          <w:p>
            <w:r>
              <w:rPr>
                <w:b/>
                <w:bCs/>
                <w:color w:val="FFFFFF"/>
                <w:sz w:val="20"/>
                <w:szCs w:val="20"/>
              </w:rPr>
              <w:t xml:space="preserve">Component</w:t>
            </w:r>
          </w:p>
        </w:tc>
        <w:tc>
          <w:tcPr>
            <w:tcW w:type="dxa" w:w="3200"/>
            <w:shd w:fill="1F3864" w:color="auto" w:val="clear"/>
            <w:tcMar>
              <w:top w:type="dxa" w:w="70"/>
              <w:left w:type="dxa" w:w="110"/>
              <w:bottom w:type="dxa" w:w="70"/>
              <w:right w:type="dxa" w:w="110"/>
            </w:tcMar>
            <w:vAlign w:val="center"/>
          </w:tcPr>
          <w:p>
            <w:r>
              <w:rPr>
                <w:b/>
                <w:bCs/>
                <w:color w:val="FFFFFF"/>
                <w:sz w:val="20"/>
                <w:szCs w:val="20"/>
              </w:rPr>
              <w:t xml:space="preserve">Description</w:t>
            </w:r>
          </w:p>
        </w:tc>
        <w:tc>
          <w:tcPr>
            <w:tcW w:type="dxa" w:w="2900"/>
            <w:shd w:fill="1F3864" w:color="auto" w:val="clear"/>
            <w:tcMar>
              <w:top w:type="dxa" w:w="70"/>
              <w:left w:type="dxa" w:w="110"/>
              <w:bottom w:type="dxa" w:w="70"/>
              <w:right w:type="dxa" w:w="110"/>
            </w:tcMar>
            <w:vAlign w:val="center"/>
          </w:tcPr>
          <w:p>
            <w:r>
              <w:rPr>
                <w:b/>
                <w:bCs/>
                <w:color w:val="FFFFFF"/>
                <w:sz w:val="20"/>
                <w:szCs w:val="20"/>
              </w:rPr>
              <w:t xml:space="preserve">Technology</w:t>
            </w:r>
          </w:p>
        </w:tc>
      </w:tr>
      <w:tr>
        <w:tc>
          <w:tcPr>
            <w:tcW w:type="dxa" w:w="700"/>
            <w:shd w:fill="FFFFFF" w:color="auto" w:val="clear"/>
            <w:tcMar>
              <w:top w:type="dxa" w:w="70"/>
              <w:left w:type="dxa" w:w="110"/>
              <w:bottom w:type="dxa" w:w="70"/>
              <w:right w:type="dxa" w:w="110"/>
            </w:tcMar>
            <w:vAlign w:val="center"/>
          </w:tcPr>
          <w:p>
            <w:r>
              <w:rPr>
                <w:b w:val="false"/>
                <w:bCs w:val="false"/>
                <w:color w:val="000000"/>
                <w:sz w:val="20"/>
                <w:szCs w:val="20"/>
              </w:rPr>
              <w:t xml:space="preserve">1</w:t>
            </w:r>
          </w:p>
        </w:tc>
        <w:tc>
          <w:tcPr>
            <w:tcW w:type="dxa" w:w="2000"/>
            <w:shd w:fill="FFFFFF" w:color="auto" w:val="clear"/>
            <w:tcMar>
              <w:top w:type="dxa" w:w="70"/>
              <w:left w:type="dxa" w:w="110"/>
              <w:bottom w:type="dxa" w:w="70"/>
              <w:right w:type="dxa" w:w="110"/>
            </w:tcMar>
            <w:vAlign w:val="center"/>
          </w:tcPr>
          <w:p>
            <w:r>
              <w:rPr>
                <w:b w:val="false"/>
                <w:bCs w:val="false"/>
                <w:color w:val="000000"/>
                <w:sz w:val="20"/>
                <w:szCs w:val="20"/>
              </w:rPr>
              <w:t xml:space="preserve">User Interface</w:t>
            </w:r>
          </w:p>
        </w:tc>
        <w:tc>
          <w:tcPr>
            <w:tcW w:type="dxa" w:w="3200"/>
            <w:shd w:fill="FFFFFF" w:color="auto" w:val="clear"/>
            <w:tcMar>
              <w:top w:type="dxa" w:w="70"/>
              <w:left w:type="dxa" w:w="110"/>
              <w:bottom w:type="dxa" w:w="70"/>
              <w:right w:type="dxa" w:w="110"/>
            </w:tcMar>
            <w:vAlign w:val="center"/>
          </w:tcPr>
          <w:p>
            <w:r>
              <w:rPr>
                <w:b w:val="false"/>
                <w:bCs w:val="false"/>
                <w:color w:val="000000"/>
                <w:sz w:val="20"/>
                <w:szCs w:val="20"/>
              </w:rPr>
              <w:t xml:space="preserve">How agents interact with the governance workflow</w:t>
            </w:r>
          </w:p>
        </w:tc>
        <w:tc>
          <w:tcPr>
            <w:tcW w:type="dxa" w:w="2900"/>
            <w:shd w:fill="FFFFFF" w:color="auto" w:val="clear"/>
            <w:tcMar>
              <w:top w:type="dxa" w:w="70"/>
              <w:left w:type="dxa" w:w="110"/>
              <w:bottom w:type="dxa" w:w="70"/>
              <w:right w:type="dxa" w:w="110"/>
            </w:tcMar>
            <w:vAlign w:val="center"/>
          </w:tcPr>
          <w:p>
            <w:r>
              <w:rPr>
                <w:b w:val="false"/>
                <w:bCs w:val="false"/>
                <w:color w:val="000000"/>
                <w:sz w:val="20"/>
                <w:szCs w:val="20"/>
              </w:rPr>
              <w:t xml:space="preserve">ServiceNow Service Portal / Now Experience UI, Virtual Agent chat widget</w:t>
            </w:r>
          </w:p>
        </w:tc>
      </w:tr>
      <w:tr>
        <w:tc>
          <w:tcPr>
            <w:tcW w:type="dxa" w:w="700"/>
            <w:shd w:fill="F2F2F2" w:color="auto" w:val="clear"/>
            <w:tcMar>
              <w:top w:type="dxa" w:w="70"/>
              <w:left w:type="dxa" w:w="110"/>
              <w:bottom w:type="dxa" w:w="70"/>
              <w:right w:type="dxa" w:w="110"/>
            </w:tcMar>
            <w:vAlign w:val="center"/>
          </w:tcPr>
          <w:p>
            <w:r>
              <w:rPr>
                <w:b w:val="false"/>
                <w:bCs w:val="false"/>
                <w:color w:val="000000"/>
                <w:sz w:val="20"/>
                <w:szCs w:val="20"/>
              </w:rPr>
              <w:t xml:space="preserve">2</w:t>
            </w:r>
          </w:p>
        </w:tc>
        <w:tc>
          <w:tcPr>
            <w:tcW w:type="dxa" w:w="2000"/>
            <w:shd w:fill="F2F2F2" w:color="auto" w:val="clear"/>
            <w:tcMar>
              <w:top w:type="dxa" w:w="70"/>
              <w:left w:type="dxa" w:w="110"/>
              <w:bottom w:type="dxa" w:w="70"/>
              <w:right w:type="dxa" w:w="110"/>
            </w:tcMar>
            <w:vAlign w:val="center"/>
          </w:tcPr>
          <w:p>
            <w:r>
              <w:rPr>
                <w:b w:val="false"/>
                <w:bCs w:val="false"/>
                <w:color w:val="000000"/>
                <w:sz w:val="20"/>
                <w:szCs w:val="20"/>
              </w:rPr>
              <w:t xml:space="preserve">Application Logic-1</w:t>
            </w:r>
          </w:p>
        </w:tc>
        <w:tc>
          <w:tcPr>
            <w:tcW w:type="dxa" w:w="3200"/>
            <w:shd w:fill="F2F2F2" w:color="auto" w:val="clear"/>
            <w:tcMar>
              <w:top w:type="dxa" w:w="70"/>
              <w:left w:type="dxa" w:w="110"/>
              <w:bottom w:type="dxa" w:w="70"/>
              <w:right w:type="dxa" w:w="110"/>
            </w:tcMar>
            <w:vAlign w:val="center"/>
          </w:tcPr>
          <w:p>
            <w:r>
              <w:rPr>
                <w:b w:val="false"/>
                <w:bCs w:val="false"/>
                <w:color w:val="000000"/>
                <w:sz w:val="20"/>
                <w:szCs w:val="20"/>
              </w:rPr>
              <w:t xml:space="preserve">SLA risk detection and threshold monitoring</w:t>
            </w:r>
          </w:p>
        </w:tc>
        <w:tc>
          <w:tcPr>
            <w:tcW w:type="dxa" w:w="2900"/>
            <w:shd w:fill="F2F2F2" w:color="auto" w:val="clear"/>
            <w:tcMar>
              <w:top w:type="dxa" w:w="70"/>
              <w:left w:type="dxa" w:w="110"/>
              <w:bottom w:type="dxa" w:w="70"/>
              <w:right w:type="dxa" w:w="110"/>
            </w:tcMar>
            <w:vAlign w:val="center"/>
          </w:tcPr>
          <w:p>
            <w:r>
              <w:rPr>
                <w:b w:val="false"/>
                <w:bCs w:val="false"/>
                <w:color w:val="000000"/>
                <w:sz w:val="20"/>
                <w:szCs w:val="20"/>
              </w:rPr>
              <w:t xml:space="preserve">Flow Designer</w:t>
            </w:r>
          </w:p>
        </w:tc>
      </w:tr>
      <w:tr>
        <w:tc>
          <w:tcPr>
            <w:tcW w:type="dxa" w:w="700"/>
            <w:shd w:fill="FFFFFF" w:color="auto" w:val="clear"/>
            <w:tcMar>
              <w:top w:type="dxa" w:w="70"/>
              <w:left w:type="dxa" w:w="110"/>
              <w:bottom w:type="dxa" w:w="70"/>
              <w:right w:type="dxa" w:w="110"/>
            </w:tcMar>
            <w:vAlign w:val="center"/>
          </w:tcPr>
          <w:p>
            <w:r>
              <w:rPr>
                <w:b w:val="false"/>
                <w:bCs w:val="false"/>
                <w:color w:val="000000"/>
                <w:sz w:val="20"/>
                <w:szCs w:val="20"/>
              </w:rPr>
              <w:t xml:space="preserve">3</w:t>
            </w:r>
          </w:p>
        </w:tc>
        <w:tc>
          <w:tcPr>
            <w:tcW w:type="dxa" w:w="2000"/>
            <w:shd w:fill="FFFFFF" w:color="auto" w:val="clear"/>
            <w:tcMar>
              <w:top w:type="dxa" w:w="70"/>
              <w:left w:type="dxa" w:w="110"/>
              <w:bottom w:type="dxa" w:w="70"/>
              <w:right w:type="dxa" w:w="110"/>
            </w:tcMar>
            <w:vAlign w:val="center"/>
          </w:tcPr>
          <w:p>
            <w:r>
              <w:rPr>
                <w:b w:val="false"/>
                <w:bCs w:val="false"/>
                <w:color w:val="000000"/>
                <w:sz w:val="20"/>
                <w:szCs w:val="20"/>
              </w:rPr>
              <w:t xml:space="preserve">Application Logic-2</w:t>
            </w:r>
          </w:p>
        </w:tc>
        <w:tc>
          <w:tcPr>
            <w:tcW w:type="dxa" w:w="3200"/>
            <w:shd w:fill="FFFFFF" w:color="auto" w:val="clear"/>
            <w:tcMar>
              <w:top w:type="dxa" w:w="70"/>
              <w:left w:type="dxa" w:w="110"/>
              <w:bottom w:type="dxa" w:w="70"/>
              <w:right w:type="dxa" w:w="110"/>
            </w:tcMar>
            <w:vAlign w:val="center"/>
          </w:tcPr>
          <w:p>
            <w:r>
              <w:rPr>
                <w:b w:val="false"/>
                <w:bCs w:val="false"/>
                <w:color w:val="000000"/>
                <w:sz w:val="20"/>
                <w:szCs w:val="20"/>
              </w:rPr>
              <w:t xml:space="preserve">Conversational acknowledgement &amp; guided remediation</w:t>
            </w:r>
          </w:p>
        </w:tc>
        <w:tc>
          <w:tcPr>
            <w:tcW w:type="dxa" w:w="2900"/>
            <w:shd w:fill="FFFFFF" w:color="auto" w:val="clear"/>
            <w:tcMar>
              <w:top w:type="dxa" w:w="70"/>
              <w:left w:type="dxa" w:w="110"/>
              <w:bottom w:type="dxa" w:w="70"/>
              <w:right w:type="dxa" w:w="110"/>
            </w:tcMar>
            <w:vAlign w:val="center"/>
          </w:tcPr>
          <w:p>
            <w:r>
              <w:rPr>
                <w:b w:val="false"/>
                <w:bCs w:val="false"/>
                <w:color w:val="000000"/>
                <w:sz w:val="20"/>
                <w:szCs w:val="20"/>
              </w:rPr>
              <w:t xml:space="preserve">Virtual Agent (Now Assist / VA Designer)</w:t>
            </w:r>
          </w:p>
        </w:tc>
      </w:tr>
      <w:tr>
        <w:tc>
          <w:tcPr>
            <w:tcW w:type="dxa" w:w="700"/>
            <w:shd w:fill="F2F2F2" w:color="auto" w:val="clear"/>
            <w:tcMar>
              <w:top w:type="dxa" w:w="70"/>
              <w:left w:type="dxa" w:w="110"/>
              <w:bottom w:type="dxa" w:w="70"/>
              <w:right w:type="dxa" w:w="110"/>
            </w:tcMar>
            <w:vAlign w:val="center"/>
          </w:tcPr>
          <w:p>
            <w:r>
              <w:rPr>
                <w:b w:val="false"/>
                <w:bCs w:val="false"/>
                <w:color w:val="000000"/>
                <w:sz w:val="20"/>
                <w:szCs w:val="20"/>
              </w:rPr>
              <w:t xml:space="preserve">4</w:t>
            </w:r>
          </w:p>
        </w:tc>
        <w:tc>
          <w:tcPr>
            <w:tcW w:type="dxa" w:w="2000"/>
            <w:shd w:fill="F2F2F2" w:color="auto" w:val="clear"/>
            <w:tcMar>
              <w:top w:type="dxa" w:w="70"/>
              <w:left w:type="dxa" w:w="110"/>
              <w:bottom w:type="dxa" w:w="70"/>
              <w:right w:type="dxa" w:w="110"/>
            </w:tcMar>
            <w:vAlign w:val="center"/>
          </w:tcPr>
          <w:p>
            <w:r>
              <w:rPr>
                <w:b w:val="false"/>
                <w:bCs w:val="false"/>
                <w:color w:val="000000"/>
                <w:sz w:val="20"/>
                <w:szCs w:val="20"/>
              </w:rPr>
              <w:t xml:space="preserve">Application Logic-3</w:t>
            </w:r>
          </w:p>
        </w:tc>
        <w:tc>
          <w:tcPr>
            <w:tcW w:type="dxa" w:w="3200"/>
            <w:shd w:fill="F2F2F2" w:color="auto" w:val="clear"/>
            <w:tcMar>
              <w:top w:type="dxa" w:w="70"/>
              <w:left w:type="dxa" w:w="110"/>
              <w:bottom w:type="dxa" w:w="70"/>
              <w:right w:type="dxa" w:w="110"/>
            </w:tcMar>
            <w:vAlign w:val="center"/>
          </w:tcPr>
          <w:p>
            <w:r>
              <w:rPr>
                <w:b w:val="false"/>
                <w:bCs w:val="false"/>
                <w:color w:val="000000"/>
                <w:sz w:val="20"/>
                <w:szCs w:val="20"/>
              </w:rPr>
              <w:t xml:space="preserve">Mandatory field enforcement on breach</w:t>
            </w:r>
          </w:p>
        </w:tc>
        <w:tc>
          <w:tcPr>
            <w:tcW w:type="dxa" w:w="2900"/>
            <w:shd w:fill="F2F2F2" w:color="auto" w:val="clear"/>
            <w:tcMar>
              <w:top w:type="dxa" w:w="70"/>
              <w:left w:type="dxa" w:w="110"/>
              <w:bottom w:type="dxa" w:w="70"/>
              <w:right w:type="dxa" w:w="110"/>
            </w:tcMar>
            <w:vAlign w:val="center"/>
          </w:tcPr>
          <w:p>
            <w:r>
              <w:rPr>
                <w:b w:val="false"/>
                <w:bCs w:val="false"/>
                <w:color w:val="000000"/>
                <w:sz w:val="20"/>
                <w:szCs w:val="20"/>
              </w:rPr>
              <w:t xml:space="preserve">UI Policies, Business Rules (declarative)</w:t>
            </w:r>
          </w:p>
        </w:tc>
      </w:tr>
      <w:tr>
        <w:tc>
          <w:tcPr>
            <w:tcW w:type="dxa" w:w="700"/>
            <w:shd w:fill="FFFFFF" w:color="auto" w:val="clear"/>
            <w:tcMar>
              <w:top w:type="dxa" w:w="70"/>
              <w:left w:type="dxa" w:w="110"/>
              <w:bottom w:type="dxa" w:w="70"/>
              <w:right w:type="dxa" w:w="110"/>
            </w:tcMar>
            <w:vAlign w:val="center"/>
          </w:tcPr>
          <w:p>
            <w:r>
              <w:rPr>
                <w:b w:val="false"/>
                <w:bCs w:val="false"/>
                <w:color w:val="000000"/>
                <w:sz w:val="20"/>
                <w:szCs w:val="20"/>
              </w:rPr>
              <w:t xml:space="preserve">5</w:t>
            </w:r>
          </w:p>
        </w:tc>
        <w:tc>
          <w:tcPr>
            <w:tcW w:type="dxa" w:w="2000"/>
            <w:shd w:fill="FFFFFF" w:color="auto" w:val="clear"/>
            <w:tcMar>
              <w:top w:type="dxa" w:w="70"/>
              <w:left w:type="dxa" w:w="110"/>
              <w:bottom w:type="dxa" w:w="70"/>
              <w:right w:type="dxa" w:w="110"/>
            </w:tcMar>
            <w:vAlign w:val="center"/>
          </w:tcPr>
          <w:p>
            <w:r>
              <w:rPr>
                <w:b w:val="false"/>
                <w:bCs w:val="false"/>
                <w:color w:val="000000"/>
                <w:sz w:val="20"/>
                <w:szCs w:val="20"/>
              </w:rPr>
              <w:t xml:space="preserve">Database</w:t>
            </w:r>
          </w:p>
        </w:tc>
        <w:tc>
          <w:tcPr>
            <w:tcW w:type="dxa" w:w="3200"/>
            <w:shd w:fill="FFFFFF" w:color="auto" w:val="clear"/>
            <w:tcMar>
              <w:top w:type="dxa" w:w="70"/>
              <w:left w:type="dxa" w:w="110"/>
              <w:bottom w:type="dxa" w:w="70"/>
              <w:right w:type="dxa" w:w="110"/>
            </w:tcMar>
            <w:vAlign w:val="center"/>
          </w:tcPr>
          <w:p>
            <w:r>
              <w:rPr>
                <w:b w:val="false"/>
                <w:bCs w:val="false"/>
                <w:color w:val="000000"/>
                <w:sz w:val="20"/>
                <w:szCs w:val="20"/>
              </w:rPr>
              <w:t xml:space="preserve">Core record storage for incidents/tasks, SLA data, work notes</w:t>
            </w:r>
          </w:p>
        </w:tc>
        <w:tc>
          <w:tcPr>
            <w:tcW w:type="dxa" w:w="2900"/>
            <w:shd w:fill="FFFFFF" w:color="auto" w:val="clear"/>
            <w:tcMar>
              <w:top w:type="dxa" w:w="70"/>
              <w:left w:type="dxa" w:w="110"/>
              <w:bottom w:type="dxa" w:w="70"/>
              <w:right w:type="dxa" w:w="110"/>
            </w:tcMar>
            <w:vAlign w:val="center"/>
          </w:tcPr>
          <w:p>
            <w:r>
              <w:rPr>
                <w:b w:val="false"/>
                <w:bCs w:val="false"/>
                <w:color w:val="000000"/>
                <w:sz w:val="20"/>
                <w:szCs w:val="20"/>
              </w:rPr>
              <w:t xml:space="preserve">ServiceNow platform tables (Task, Incident, SLA, sys_audit)</w:t>
            </w:r>
          </w:p>
        </w:tc>
      </w:tr>
      <w:tr>
        <w:tc>
          <w:tcPr>
            <w:tcW w:type="dxa" w:w="700"/>
            <w:shd w:fill="F2F2F2" w:color="auto" w:val="clear"/>
            <w:tcMar>
              <w:top w:type="dxa" w:w="70"/>
              <w:left w:type="dxa" w:w="110"/>
              <w:bottom w:type="dxa" w:w="70"/>
              <w:right w:type="dxa" w:w="110"/>
            </w:tcMar>
            <w:vAlign w:val="center"/>
          </w:tcPr>
          <w:p>
            <w:r>
              <w:rPr>
                <w:b w:val="false"/>
                <w:bCs w:val="false"/>
                <w:color w:val="000000"/>
                <w:sz w:val="20"/>
                <w:szCs w:val="20"/>
              </w:rPr>
              <w:t xml:space="preserve">6</w:t>
            </w:r>
          </w:p>
        </w:tc>
        <w:tc>
          <w:tcPr>
            <w:tcW w:type="dxa" w:w="2000"/>
            <w:shd w:fill="F2F2F2" w:color="auto" w:val="clear"/>
            <w:tcMar>
              <w:top w:type="dxa" w:w="70"/>
              <w:left w:type="dxa" w:w="110"/>
              <w:bottom w:type="dxa" w:w="70"/>
              <w:right w:type="dxa" w:w="110"/>
            </w:tcMar>
            <w:vAlign w:val="center"/>
          </w:tcPr>
          <w:p>
            <w:r>
              <w:rPr>
                <w:b w:val="false"/>
                <w:bCs w:val="false"/>
                <w:color w:val="000000"/>
                <w:sz w:val="20"/>
                <w:szCs w:val="20"/>
              </w:rPr>
              <w:t xml:space="preserve">Access Control</w:t>
            </w:r>
          </w:p>
        </w:tc>
        <w:tc>
          <w:tcPr>
            <w:tcW w:type="dxa" w:w="3200"/>
            <w:shd w:fill="F2F2F2" w:color="auto" w:val="clear"/>
            <w:tcMar>
              <w:top w:type="dxa" w:w="70"/>
              <w:left w:type="dxa" w:w="110"/>
              <w:bottom w:type="dxa" w:w="70"/>
              <w:right w:type="dxa" w:w="110"/>
            </w:tcMar>
            <w:vAlign w:val="center"/>
          </w:tcPr>
          <w:p>
            <w:r>
              <w:rPr>
                <w:b w:val="false"/>
                <w:bCs w:val="false"/>
                <w:color w:val="000000"/>
                <w:sz w:val="20"/>
                <w:szCs w:val="20"/>
              </w:rPr>
              <w:t xml:space="preserve">Role-based read/write restriction on governance fields</w:t>
            </w:r>
          </w:p>
        </w:tc>
        <w:tc>
          <w:tcPr>
            <w:tcW w:type="dxa" w:w="2900"/>
            <w:shd w:fill="F2F2F2" w:color="auto" w:val="clear"/>
            <w:tcMar>
              <w:top w:type="dxa" w:w="70"/>
              <w:left w:type="dxa" w:w="110"/>
              <w:bottom w:type="dxa" w:w="70"/>
              <w:right w:type="dxa" w:w="110"/>
            </w:tcMar>
            <w:vAlign w:val="center"/>
          </w:tcPr>
          <w:p>
            <w:r>
              <w:rPr>
                <w:b w:val="false"/>
                <w:bCs w:val="false"/>
                <w:color w:val="000000"/>
                <w:sz w:val="20"/>
                <w:szCs w:val="20"/>
              </w:rPr>
              <w:t xml:space="preserve">Access Control Lists (ACLs), Roles</w:t>
            </w:r>
          </w:p>
        </w:tc>
      </w:tr>
      <w:tr>
        <w:tc>
          <w:tcPr>
            <w:tcW w:type="dxa" w:w="700"/>
            <w:shd w:fill="FFFFFF" w:color="auto" w:val="clear"/>
            <w:tcMar>
              <w:top w:type="dxa" w:w="70"/>
              <w:left w:type="dxa" w:w="110"/>
              <w:bottom w:type="dxa" w:w="70"/>
              <w:right w:type="dxa" w:w="110"/>
            </w:tcMar>
            <w:vAlign w:val="center"/>
          </w:tcPr>
          <w:p>
            <w:r>
              <w:rPr>
                <w:b w:val="false"/>
                <w:bCs w:val="false"/>
                <w:color w:val="000000"/>
                <w:sz w:val="20"/>
                <w:szCs w:val="20"/>
              </w:rPr>
              <w:t xml:space="preserve">7</w:t>
            </w:r>
          </w:p>
        </w:tc>
        <w:tc>
          <w:tcPr>
            <w:tcW w:type="dxa" w:w="2000"/>
            <w:shd w:fill="FFFFFF" w:color="auto" w:val="clear"/>
            <w:tcMar>
              <w:top w:type="dxa" w:w="70"/>
              <w:left w:type="dxa" w:w="110"/>
              <w:bottom w:type="dxa" w:w="70"/>
              <w:right w:type="dxa" w:w="110"/>
            </w:tcMar>
            <w:vAlign w:val="center"/>
          </w:tcPr>
          <w:p>
            <w:r>
              <w:rPr>
                <w:b w:val="false"/>
                <w:bCs w:val="false"/>
                <w:color w:val="000000"/>
                <w:sz w:val="20"/>
                <w:szCs w:val="20"/>
              </w:rPr>
              <w:t xml:space="preserve">Notifications</w:t>
            </w:r>
          </w:p>
        </w:tc>
        <w:tc>
          <w:tcPr>
            <w:tcW w:type="dxa" w:w="3200"/>
            <w:shd w:fill="FFFFFF" w:color="auto" w:val="clear"/>
            <w:tcMar>
              <w:top w:type="dxa" w:w="70"/>
              <w:left w:type="dxa" w:w="110"/>
              <w:bottom w:type="dxa" w:w="70"/>
              <w:right w:type="dxa" w:w="110"/>
            </w:tcMar>
            <w:vAlign w:val="center"/>
          </w:tcPr>
          <w:p>
            <w:r>
              <w:rPr>
                <w:b w:val="false"/>
                <w:bCs w:val="false"/>
                <w:color w:val="000000"/>
                <w:sz w:val="20"/>
                <w:szCs w:val="20"/>
              </w:rPr>
              <w:t xml:space="preserve">Real-time alerts to assignees/managers</w:t>
            </w:r>
          </w:p>
        </w:tc>
        <w:tc>
          <w:tcPr>
            <w:tcW w:type="dxa" w:w="2900"/>
            <w:shd w:fill="FFFFFF" w:color="auto" w:val="clear"/>
            <w:tcMar>
              <w:top w:type="dxa" w:w="70"/>
              <w:left w:type="dxa" w:w="110"/>
              <w:bottom w:type="dxa" w:w="70"/>
              <w:right w:type="dxa" w:w="110"/>
            </w:tcMar>
            <w:vAlign w:val="center"/>
          </w:tcPr>
          <w:p>
            <w:r>
              <w:rPr>
                <w:b w:val="false"/>
                <w:bCs w:val="false"/>
                <w:color w:val="000000"/>
                <w:sz w:val="20"/>
                <w:szCs w:val="20"/>
              </w:rPr>
              <w:t xml:space="preserve">ServiceNow Notifications (Email/Push), Virtual Agent messaging</w:t>
            </w:r>
          </w:p>
        </w:tc>
      </w:tr>
      <w:tr>
        <w:tc>
          <w:tcPr>
            <w:tcW w:type="dxa" w:w="700"/>
            <w:shd w:fill="F2F2F2" w:color="auto" w:val="clear"/>
            <w:tcMar>
              <w:top w:type="dxa" w:w="70"/>
              <w:left w:type="dxa" w:w="110"/>
              <w:bottom w:type="dxa" w:w="70"/>
              <w:right w:type="dxa" w:w="110"/>
            </w:tcMar>
            <w:vAlign w:val="center"/>
          </w:tcPr>
          <w:p>
            <w:r>
              <w:rPr>
                <w:b w:val="false"/>
                <w:bCs w:val="false"/>
                <w:color w:val="000000"/>
                <w:sz w:val="20"/>
                <w:szCs w:val="20"/>
              </w:rPr>
              <w:t xml:space="preserve">8</w:t>
            </w:r>
          </w:p>
        </w:tc>
        <w:tc>
          <w:tcPr>
            <w:tcW w:type="dxa" w:w="2000"/>
            <w:shd w:fill="F2F2F2" w:color="auto" w:val="clear"/>
            <w:tcMar>
              <w:top w:type="dxa" w:w="70"/>
              <w:left w:type="dxa" w:w="110"/>
              <w:bottom w:type="dxa" w:w="70"/>
              <w:right w:type="dxa" w:w="110"/>
            </w:tcMar>
            <w:vAlign w:val="center"/>
          </w:tcPr>
          <w:p>
            <w:r>
              <w:rPr>
                <w:b w:val="false"/>
                <w:bCs w:val="false"/>
                <w:color w:val="000000"/>
                <w:sz w:val="20"/>
                <w:szCs w:val="20"/>
              </w:rPr>
              <w:t xml:space="preserve">Reporting &amp; Visualization</w:t>
            </w:r>
          </w:p>
        </w:tc>
        <w:tc>
          <w:tcPr>
            <w:tcW w:type="dxa" w:w="3200"/>
            <w:shd w:fill="F2F2F2" w:color="auto" w:val="clear"/>
            <w:tcMar>
              <w:top w:type="dxa" w:w="70"/>
              <w:left w:type="dxa" w:w="110"/>
              <w:bottom w:type="dxa" w:w="70"/>
              <w:right w:type="dxa" w:w="110"/>
            </w:tcMar>
            <w:vAlign w:val="center"/>
          </w:tcPr>
          <w:p>
            <w:r>
              <w:rPr>
                <w:b w:val="false"/>
                <w:bCs w:val="false"/>
                <w:color w:val="000000"/>
                <w:sz w:val="20"/>
                <w:szCs w:val="20"/>
              </w:rPr>
              <w:t xml:space="preserve">SLA trend, breach-rate and accountability views</w:t>
            </w:r>
          </w:p>
        </w:tc>
        <w:tc>
          <w:tcPr>
            <w:tcW w:type="dxa" w:w="2900"/>
            <w:shd w:fill="F2F2F2" w:color="auto" w:val="clear"/>
            <w:tcMar>
              <w:top w:type="dxa" w:w="70"/>
              <w:left w:type="dxa" w:w="110"/>
              <w:bottom w:type="dxa" w:w="70"/>
              <w:right w:type="dxa" w:w="110"/>
            </w:tcMar>
            <w:vAlign w:val="center"/>
          </w:tcPr>
          <w:p>
            <w:r>
              <w:rPr>
                <w:b w:val="false"/>
                <w:bCs w:val="false"/>
                <w:color w:val="000000"/>
                <w:sz w:val="20"/>
                <w:szCs w:val="20"/>
              </w:rPr>
              <w:t xml:space="preserve">Performance Analytics, Reports, Dashboards</w:t>
            </w:r>
          </w:p>
        </w:tc>
      </w:tr>
      <w:tr>
        <w:tc>
          <w:tcPr>
            <w:tcW w:type="dxa" w:w="700"/>
            <w:shd w:fill="FFFFFF" w:color="auto" w:val="clear"/>
            <w:tcMar>
              <w:top w:type="dxa" w:w="70"/>
              <w:left w:type="dxa" w:w="110"/>
              <w:bottom w:type="dxa" w:w="70"/>
              <w:right w:type="dxa" w:w="110"/>
            </w:tcMar>
            <w:vAlign w:val="center"/>
          </w:tcPr>
          <w:p>
            <w:r>
              <w:rPr>
                <w:b w:val="false"/>
                <w:bCs w:val="false"/>
                <w:color w:val="000000"/>
                <w:sz w:val="20"/>
                <w:szCs w:val="20"/>
              </w:rPr>
              <w:t xml:space="preserve">9</w:t>
            </w:r>
          </w:p>
        </w:tc>
        <w:tc>
          <w:tcPr>
            <w:tcW w:type="dxa" w:w="2000"/>
            <w:shd w:fill="FFFFFF" w:color="auto" w:val="clear"/>
            <w:tcMar>
              <w:top w:type="dxa" w:w="70"/>
              <w:left w:type="dxa" w:w="110"/>
              <w:bottom w:type="dxa" w:w="70"/>
              <w:right w:type="dxa" w:w="110"/>
            </w:tcMar>
            <w:vAlign w:val="center"/>
          </w:tcPr>
          <w:p>
            <w:r>
              <w:rPr>
                <w:b w:val="false"/>
                <w:bCs w:val="false"/>
                <w:color w:val="000000"/>
                <w:sz w:val="20"/>
                <w:szCs w:val="20"/>
              </w:rPr>
              <w:t xml:space="preserve">Infrastructure</w:t>
            </w:r>
          </w:p>
        </w:tc>
        <w:tc>
          <w:tcPr>
            <w:tcW w:type="dxa" w:w="3200"/>
            <w:shd w:fill="FFFFFF" w:color="auto" w:val="clear"/>
            <w:tcMar>
              <w:top w:type="dxa" w:w="70"/>
              <w:left w:type="dxa" w:w="110"/>
              <w:bottom w:type="dxa" w:w="70"/>
              <w:right w:type="dxa" w:w="110"/>
            </w:tcMar>
            <w:vAlign w:val="center"/>
          </w:tcPr>
          <w:p>
            <w:r>
              <w:rPr>
                <w:b w:val="false"/>
                <w:bCs w:val="false"/>
                <w:color w:val="000000"/>
                <w:sz w:val="20"/>
                <w:szCs w:val="20"/>
              </w:rPr>
              <w:t xml:space="preserve">Application deployment</w:t>
            </w:r>
          </w:p>
        </w:tc>
        <w:tc>
          <w:tcPr>
            <w:tcW w:type="dxa" w:w="2900"/>
            <w:shd w:fill="FFFFFF" w:color="auto" w:val="clear"/>
            <w:tcMar>
              <w:top w:type="dxa" w:w="70"/>
              <w:left w:type="dxa" w:w="110"/>
              <w:bottom w:type="dxa" w:w="70"/>
              <w:right w:type="dxa" w:w="110"/>
            </w:tcMar>
            <w:vAlign w:val="center"/>
          </w:tcPr>
          <w:p>
            <w:r>
              <w:rPr>
                <w:b w:val="false"/>
                <w:bCs w:val="false"/>
                <w:color w:val="000000"/>
                <w:sz w:val="20"/>
                <w:szCs w:val="20"/>
              </w:rPr>
              <w:t xml:space="preserve">Native ServiceNow instance — no external server or cloud dependency</w:t>
            </w:r>
          </w:p>
        </w:tc>
      </w:tr>
    </w:tbl>
    <w:p>
      <w:pPr>
        <w:pStyle w:val="Heading3"/>
        <w:spacing w:after="90" w:before="180"/>
      </w:pPr>
      <w:r>
        <w:t xml:space="preserve">Table 2 — Application Characteristics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200"/>
        <w:gridCol w:w="2300"/>
      </w:tblGrid>
      <w:tr>
        <w:trPr>
          <w:tblHeader/>
        </w:trPr>
        <w:tc>
          <w:tcPr>
            <w:tcW w:type="dxa" w:w="700"/>
            <w:shd w:fill="1F3864" w:color="auto" w:val="clear"/>
            <w:tcMar>
              <w:top w:type="dxa" w:w="70"/>
              <w:left w:type="dxa" w:w="110"/>
              <w:bottom w:type="dxa" w:w="70"/>
              <w:right w:type="dxa" w:w="110"/>
            </w:tcMar>
            <w:vAlign w:val="center"/>
          </w:tcPr>
          <w:p>
            <w:r>
              <w:rPr>
                <w:b/>
                <w:bCs/>
                <w:color w:val="FFFFFF"/>
                <w:sz w:val="20"/>
                <w:szCs w:val="20"/>
              </w:rPr>
              <w:t xml:space="preserve">S.No</w:t>
            </w:r>
          </w:p>
        </w:tc>
        <w:tc>
          <w:tcPr>
            <w:tcW w:type="dxa" w:w="2600"/>
            <w:shd w:fill="1F3864" w:color="auto" w:val="clear"/>
            <w:tcMar>
              <w:top w:type="dxa" w:w="70"/>
              <w:left w:type="dxa" w:w="110"/>
              <w:bottom w:type="dxa" w:w="70"/>
              <w:right w:type="dxa" w:w="110"/>
            </w:tcMar>
            <w:vAlign w:val="center"/>
          </w:tcPr>
          <w:p>
            <w:r>
              <w:rPr>
                <w:b/>
                <w:bCs/>
                <w:color w:val="FFFFFF"/>
                <w:sz w:val="20"/>
                <w:szCs w:val="20"/>
              </w:rPr>
              <w:t xml:space="preserve">Characteristics</w:t>
            </w:r>
          </w:p>
        </w:tc>
        <w:tc>
          <w:tcPr>
            <w:tcW w:type="dxa" w:w="3200"/>
            <w:shd w:fill="1F3864" w:color="auto" w:val="clear"/>
            <w:tcMar>
              <w:top w:type="dxa" w:w="70"/>
              <w:left w:type="dxa" w:w="110"/>
              <w:bottom w:type="dxa" w:w="70"/>
              <w:right w:type="dxa" w:w="110"/>
            </w:tcMar>
            <w:vAlign w:val="center"/>
          </w:tcPr>
          <w:p>
            <w:r>
              <w:rPr>
                <w:b/>
                <w:bCs/>
                <w:color w:val="FFFFFF"/>
                <w:sz w:val="20"/>
                <w:szCs w:val="20"/>
              </w:rPr>
              <w:t xml:space="preserve">Description</w:t>
            </w:r>
          </w:p>
        </w:tc>
        <w:tc>
          <w:tcPr>
            <w:tcW w:type="dxa" w:w="2300"/>
            <w:shd w:fill="1F3864" w:color="auto" w:val="clear"/>
            <w:tcMar>
              <w:top w:type="dxa" w:w="70"/>
              <w:left w:type="dxa" w:w="110"/>
              <w:bottom w:type="dxa" w:w="70"/>
              <w:right w:type="dxa" w:w="110"/>
            </w:tcMar>
            <w:vAlign w:val="center"/>
          </w:tcPr>
          <w:p>
            <w:r>
              <w:rPr>
                <w:b/>
                <w:bCs/>
                <w:color w:val="FFFFFF"/>
                <w:sz w:val="20"/>
                <w:szCs w:val="20"/>
              </w:rPr>
              <w:t xml:space="preserve">Technology</w:t>
            </w:r>
          </w:p>
        </w:tc>
      </w:tr>
      <w:tr>
        <w:tc>
          <w:tcPr>
            <w:tcW w:type="dxa" w:w="700"/>
            <w:shd w:fill="FFFFFF" w:color="auto" w:val="clear"/>
            <w:tcMar>
              <w:top w:type="dxa" w:w="70"/>
              <w:left w:type="dxa" w:w="110"/>
              <w:bottom w:type="dxa" w:w="70"/>
              <w:right w:type="dxa" w:w="110"/>
            </w:tcMar>
            <w:vAlign w:val="center"/>
          </w:tcPr>
          <w:p>
            <w:r>
              <w:rPr>
                <w:b w:val="false"/>
                <w:bCs w:val="false"/>
                <w:color w:val="000000"/>
                <w:sz w:val="20"/>
                <w:szCs w:val="20"/>
              </w:rPr>
              <w:t xml:space="preserve">1</w:t>
            </w:r>
          </w:p>
        </w:tc>
        <w:tc>
          <w:tcPr>
            <w:tcW w:type="dxa" w:w="2600"/>
            <w:shd w:fill="FFFFFF" w:color="auto" w:val="clear"/>
            <w:tcMar>
              <w:top w:type="dxa" w:w="70"/>
              <w:left w:type="dxa" w:w="110"/>
              <w:bottom w:type="dxa" w:w="70"/>
              <w:right w:type="dxa" w:w="110"/>
            </w:tcMar>
            <w:vAlign w:val="center"/>
          </w:tcPr>
          <w:p>
            <w:r>
              <w:rPr>
                <w:b w:val="false"/>
                <w:bCs w:val="false"/>
                <w:color w:val="000000"/>
                <w:sz w:val="20"/>
                <w:szCs w:val="20"/>
              </w:rPr>
              <w:t xml:space="preserve">Declarative / Zero-Code Framework</w:t>
            </w:r>
          </w:p>
        </w:tc>
        <w:tc>
          <w:tcPr>
            <w:tcW w:type="dxa" w:w="3200"/>
            <w:shd w:fill="FFFFFF" w:color="auto" w:val="clear"/>
            <w:tcMar>
              <w:top w:type="dxa" w:w="70"/>
              <w:left w:type="dxa" w:w="110"/>
              <w:bottom w:type="dxa" w:w="70"/>
              <w:right w:type="dxa" w:w="110"/>
            </w:tcMar>
            <w:vAlign w:val="center"/>
          </w:tcPr>
          <w:p>
            <w:r>
              <w:rPr>
                <w:b w:val="false"/>
                <w:bCs w:val="false"/>
                <w:color w:val="000000"/>
                <w:sz w:val="20"/>
                <w:szCs w:val="20"/>
              </w:rPr>
              <w:t xml:space="preserve">No custom scripting used anywhere in the solution</w:t>
            </w:r>
          </w:p>
        </w:tc>
        <w:tc>
          <w:tcPr>
            <w:tcW w:type="dxa" w:w="2300"/>
            <w:shd w:fill="FFFFFF" w:color="auto" w:val="clear"/>
            <w:tcMar>
              <w:top w:type="dxa" w:w="70"/>
              <w:left w:type="dxa" w:w="110"/>
              <w:bottom w:type="dxa" w:w="70"/>
              <w:right w:type="dxa" w:w="110"/>
            </w:tcMar>
            <w:vAlign w:val="center"/>
          </w:tcPr>
          <w:p>
            <w:r>
              <w:rPr>
                <w:b w:val="false"/>
                <w:bCs w:val="false"/>
                <w:color w:val="000000"/>
                <w:sz w:val="20"/>
                <w:szCs w:val="20"/>
              </w:rPr>
              <w:t xml:space="preserve">Flow Designer, UI Policy, ACL, VA Designer</w:t>
            </w:r>
          </w:p>
        </w:tc>
      </w:tr>
      <w:tr>
        <w:tc>
          <w:tcPr>
            <w:tcW w:type="dxa" w:w="700"/>
            <w:shd w:fill="F2F2F2" w:color="auto" w:val="clear"/>
            <w:tcMar>
              <w:top w:type="dxa" w:w="70"/>
              <w:left w:type="dxa" w:w="110"/>
              <w:bottom w:type="dxa" w:w="70"/>
              <w:right w:type="dxa" w:w="110"/>
            </w:tcMar>
            <w:vAlign w:val="center"/>
          </w:tcPr>
          <w:p>
            <w:r>
              <w:rPr>
                <w:b w:val="false"/>
                <w:bCs w:val="false"/>
                <w:color w:val="000000"/>
                <w:sz w:val="20"/>
                <w:szCs w:val="20"/>
              </w:rPr>
              <w:t xml:space="preserve">2</w:t>
            </w:r>
          </w:p>
        </w:tc>
        <w:tc>
          <w:tcPr>
            <w:tcW w:type="dxa" w:w="2600"/>
            <w:shd w:fill="F2F2F2" w:color="auto" w:val="clear"/>
            <w:tcMar>
              <w:top w:type="dxa" w:w="70"/>
              <w:left w:type="dxa" w:w="110"/>
              <w:bottom w:type="dxa" w:w="70"/>
              <w:right w:type="dxa" w:w="110"/>
            </w:tcMar>
            <w:vAlign w:val="center"/>
          </w:tcPr>
          <w:p>
            <w:r>
              <w:rPr>
                <w:b w:val="false"/>
                <w:bCs w:val="false"/>
                <w:color w:val="000000"/>
                <w:sz w:val="20"/>
                <w:szCs w:val="20"/>
              </w:rPr>
              <w:t xml:space="preserve">Security Implementations</w:t>
            </w:r>
          </w:p>
        </w:tc>
        <w:tc>
          <w:tcPr>
            <w:tcW w:type="dxa" w:w="3200"/>
            <w:shd w:fill="F2F2F2" w:color="auto" w:val="clear"/>
            <w:tcMar>
              <w:top w:type="dxa" w:w="70"/>
              <w:left w:type="dxa" w:w="110"/>
              <w:bottom w:type="dxa" w:w="70"/>
              <w:right w:type="dxa" w:w="110"/>
            </w:tcMar>
            <w:vAlign w:val="center"/>
          </w:tcPr>
          <w:p>
            <w:r>
              <w:rPr>
                <w:b w:val="false"/>
                <w:bCs w:val="false"/>
                <w:color w:val="000000"/>
                <w:sz w:val="20"/>
                <w:szCs w:val="20"/>
              </w:rPr>
              <w:t xml:space="preserve">Role-based access control on all SLA governance artifacts</w:t>
            </w:r>
          </w:p>
        </w:tc>
        <w:tc>
          <w:tcPr>
            <w:tcW w:type="dxa" w:w="2300"/>
            <w:shd w:fill="F2F2F2" w:color="auto" w:val="clear"/>
            <w:tcMar>
              <w:top w:type="dxa" w:w="70"/>
              <w:left w:type="dxa" w:w="110"/>
              <w:bottom w:type="dxa" w:w="70"/>
              <w:right w:type="dxa" w:w="110"/>
            </w:tcMar>
            <w:vAlign w:val="center"/>
          </w:tcPr>
          <w:p>
            <w:r>
              <w:rPr>
                <w:b w:val="false"/>
                <w:bCs w:val="false"/>
                <w:color w:val="000000"/>
                <w:sz w:val="20"/>
                <w:szCs w:val="20"/>
              </w:rPr>
              <w:t xml:space="preserve">ACLs, Roles, sys_audit logging</w:t>
            </w:r>
          </w:p>
        </w:tc>
      </w:tr>
      <w:tr>
        <w:tc>
          <w:tcPr>
            <w:tcW w:type="dxa" w:w="700"/>
            <w:shd w:fill="FFFFFF" w:color="auto" w:val="clear"/>
            <w:tcMar>
              <w:top w:type="dxa" w:w="70"/>
              <w:left w:type="dxa" w:w="110"/>
              <w:bottom w:type="dxa" w:w="70"/>
              <w:right w:type="dxa" w:w="110"/>
            </w:tcMar>
            <w:vAlign w:val="center"/>
          </w:tcPr>
          <w:p>
            <w:r>
              <w:rPr>
                <w:b w:val="false"/>
                <w:bCs w:val="false"/>
                <w:color w:val="000000"/>
                <w:sz w:val="20"/>
                <w:szCs w:val="20"/>
              </w:rPr>
              <w:t xml:space="preserve">3</w:t>
            </w:r>
          </w:p>
        </w:tc>
        <w:tc>
          <w:tcPr>
            <w:tcW w:type="dxa" w:w="2600"/>
            <w:shd w:fill="FFFFFF" w:color="auto" w:val="clear"/>
            <w:tcMar>
              <w:top w:type="dxa" w:w="70"/>
              <w:left w:type="dxa" w:w="110"/>
              <w:bottom w:type="dxa" w:w="70"/>
              <w:right w:type="dxa" w:w="110"/>
            </w:tcMar>
            <w:vAlign w:val="center"/>
          </w:tcPr>
          <w:p>
            <w:r>
              <w:rPr>
                <w:b w:val="false"/>
                <w:bCs w:val="false"/>
                <w:color w:val="000000"/>
                <w:sz w:val="20"/>
                <w:szCs w:val="20"/>
              </w:rPr>
              <w:t xml:space="preserve">Scalable Architecture</w:t>
            </w:r>
          </w:p>
        </w:tc>
        <w:tc>
          <w:tcPr>
            <w:tcW w:type="dxa" w:w="3200"/>
            <w:shd w:fill="FFFFFF" w:color="auto" w:val="clear"/>
            <w:tcMar>
              <w:top w:type="dxa" w:w="70"/>
              <w:left w:type="dxa" w:w="110"/>
              <w:bottom w:type="dxa" w:w="70"/>
              <w:right w:type="dxa" w:w="110"/>
            </w:tcMar>
            <w:vAlign w:val="center"/>
          </w:tcPr>
          <w:p>
            <w:r>
              <w:rPr>
                <w:b w:val="false"/>
                <w:bCs w:val="false"/>
                <w:color w:val="000000"/>
                <w:sz w:val="20"/>
                <w:szCs w:val="20"/>
              </w:rPr>
              <w:t xml:space="preserve">Configurable thresholds/roles scale across tables and departments</w:t>
            </w:r>
          </w:p>
        </w:tc>
        <w:tc>
          <w:tcPr>
            <w:tcW w:type="dxa" w:w="2300"/>
            <w:shd w:fill="FFFFFF" w:color="auto" w:val="clear"/>
            <w:tcMar>
              <w:top w:type="dxa" w:w="70"/>
              <w:left w:type="dxa" w:w="110"/>
              <w:bottom w:type="dxa" w:w="70"/>
              <w:right w:type="dxa" w:w="110"/>
            </w:tcMar>
            <w:vAlign w:val="center"/>
          </w:tcPr>
          <w:p>
            <w:r>
              <w:rPr>
                <w:b w:val="false"/>
                <w:bCs w:val="false"/>
                <w:color w:val="000000"/>
                <w:sz w:val="20"/>
                <w:szCs w:val="20"/>
              </w:rPr>
              <w:t xml:space="preserve">Flow Designer reusable subflows</w:t>
            </w:r>
          </w:p>
        </w:tc>
      </w:tr>
      <w:tr>
        <w:tc>
          <w:tcPr>
            <w:tcW w:type="dxa" w:w="700"/>
            <w:shd w:fill="F2F2F2" w:color="auto" w:val="clear"/>
            <w:tcMar>
              <w:top w:type="dxa" w:w="70"/>
              <w:left w:type="dxa" w:w="110"/>
              <w:bottom w:type="dxa" w:w="70"/>
              <w:right w:type="dxa" w:w="110"/>
            </w:tcMar>
            <w:vAlign w:val="center"/>
          </w:tcPr>
          <w:p>
            <w:r>
              <w:rPr>
                <w:b w:val="false"/>
                <w:bCs w:val="false"/>
                <w:color w:val="000000"/>
                <w:sz w:val="20"/>
                <w:szCs w:val="20"/>
              </w:rPr>
              <w:t xml:space="preserve">4</w:t>
            </w:r>
          </w:p>
        </w:tc>
        <w:tc>
          <w:tcPr>
            <w:tcW w:type="dxa" w:w="2600"/>
            <w:shd w:fill="F2F2F2" w:color="auto" w:val="clear"/>
            <w:tcMar>
              <w:top w:type="dxa" w:w="70"/>
              <w:left w:type="dxa" w:w="110"/>
              <w:bottom w:type="dxa" w:w="70"/>
              <w:right w:type="dxa" w:w="110"/>
            </w:tcMar>
            <w:vAlign w:val="center"/>
          </w:tcPr>
          <w:p>
            <w:r>
              <w:rPr>
                <w:b w:val="false"/>
                <w:bCs w:val="false"/>
                <w:color w:val="000000"/>
                <w:sz w:val="20"/>
                <w:szCs w:val="20"/>
              </w:rPr>
              <w:t xml:space="preserve">Availability</w:t>
            </w:r>
          </w:p>
        </w:tc>
        <w:tc>
          <w:tcPr>
            <w:tcW w:type="dxa" w:w="3200"/>
            <w:shd w:fill="F2F2F2" w:color="auto" w:val="clear"/>
            <w:tcMar>
              <w:top w:type="dxa" w:w="70"/>
              <w:left w:type="dxa" w:w="110"/>
              <w:bottom w:type="dxa" w:w="70"/>
              <w:right w:type="dxa" w:w="110"/>
            </w:tcMar>
            <w:vAlign w:val="center"/>
          </w:tcPr>
          <w:p>
            <w:r>
              <w:rPr>
                <w:b w:val="false"/>
                <w:bCs w:val="false"/>
                <w:color w:val="000000"/>
                <w:sz w:val="20"/>
                <w:szCs w:val="20"/>
              </w:rPr>
              <w:t xml:space="preserve">Runs natively within the always-on ServiceNow instance</w:t>
            </w:r>
          </w:p>
        </w:tc>
        <w:tc>
          <w:tcPr>
            <w:tcW w:type="dxa" w:w="2300"/>
            <w:shd w:fill="F2F2F2" w:color="auto" w:val="clear"/>
            <w:tcMar>
              <w:top w:type="dxa" w:w="70"/>
              <w:left w:type="dxa" w:w="110"/>
              <w:bottom w:type="dxa" w:w="70"/>
              <w:right w:type="dxa" w:w="110"/>
            </w:tcMar>
            <w:vAlign w:val="center"/>
          </w:tcPr>
          <w:p>
            <w:r>
              <w:rPr>
                <w:b w:val="false"/>
                <w:bCs w:val="false"/>
                <w:color w:val="000000"/>
                <w:sz w:val="20"/>
                <w:szCs w:val="20"/>
              </w:rPr>
              <w:t xml:space="preserve">Platform-native, no added infrastructure</w:t>
            </w:r>
          </w:p>
        </w:tc>
      </w:tr>
      <w:tr>
        <w:tc>
          <w:tcPr>
            <w:tcW w:type="dxa" w:w="700"/>
            <w:shd w:fill="FFFFFF" w:color="auto" w:val="clear"/>
            <w:tcMar>
              <w:top w:type="dxa" w:w="70"/>
              <w:left w:type="dxa" w:w="110"/>
              <w:bottom w:type="dxa" w:w="70"/>
              <w:right w:type="dxa" w:w="110"/>
            </w:tcMar>
            <w:vAlign w:val="center"/>
          </w:tcPr>
          <w:p>
            <w:r>
              <w:rPr>
                <w:b w:val="false"/>
                <w:bCs w:val="false"/>
                <w:color w:val="000000"/>
                <w:sz w:val="20"/>
                <w:szCs w:val="20"/>
              </w:rPr>
              <w:t xml:space="preserve">5</w:t>
            </w:r>
          </w:p>
        </w:tc>
        <w:tc>
          <w:tcPr>
            <w:tcW w:type="dxa" w:w="2600"/>
            <w:shd w:fill="FFFFFF" w:color="auto" w:val="clear"/>
            <w:tcMar>
              <w:top w:type="dxa" w:w="70"/>
              <w:left w:type="dxa" w:w="110"/>
              <w:bottom w:type="dxa" w:w="70"/>
              <w:right w:type="dxa" w:w="110"/>
            </w:tcMar>
            <w:vAlign w:val="center"/>
          </w:tcPr>
          <w:p>
            <w:r>
              <w:rPr>
                <w:b w:val="false"/>
                <w:bCs w:val="false"/>
                <w:color w:val="000000"/>
                <w:sz w:val="20"/>
                <w:szCs w:val="20"/>
              </w:rPr>
              <w:t xml:space="preserve">Performance</w:t>
            </w:r>
          </w:p>
        </w:tc>
        <w:tc>
          <w:tcPr>
            <w:tcW w:type="dxa" w:w="3200"/>
            <w:shd w:fill="FFFFFF" w:color="auto" w:val="clear"/>
            <w:tcMar>
              <w:top w:type="dxa" w:w="70"/>
              <w:left w:type="dxa" w:w="110"/>
              <w:bottom w:type="dxa" w:w="70"/>
              <w:right w:type="dxa" w:w="110"/>
            </w:tcMar>
            <w:vAlign w:val="center"/>
          </w:tcPr>
          <w:p>
            <w:r>
              <w:rPr>
                <w:b w:val="false"/>
                <w:bCs w:val="false"/>
                <w:color w:val="000000"/>
                <w:sz w:val="20"/>
                <w:szCs w:val="20"/>
              </w:rPr>
              <w:t xml:space="preserve">Near real-time detection and alerting design</w:t>
            </w:r>
          </w:p>
        </w:tc>
        <w:tc>
          <w:tcPr>
            <w:tcW w:type="dxa" w:w="2300"/>
            <w:shd w:fill="FFFFFF" w:color="auto" w:val="clear"/>
            <w:tcMar>
              <w:top w:type="dxa" w:w="70"/>
              <w:left w:type="dxa" w:w="110"/>
              <w:bottom w:type="dxa" w:w="70"/>
              <w:right w:type="dxa" w:w="110"/>
            </w:tcMar>
            <w:vAlign w:val="center"/>
          </w:tcPr>
          <w:p>
            <w:r>
              <w:rPr>
                <w:b w:val="false"/>
                <w:bCs w:val="false"/>
                <w:color w:val="000000"/>
                <w:sz w:val="20"/>
                <w:szCs w:val="20"/>
              </w:rPr>
              <w:t xml:space="preserve">Flow Designer scheduled/event triggers</w:t>
            </w:r>
          </w:p>
        </w:tc>
      </w:tr>
    </w:tbl>
    <w:p>
      <w:pPr>
        <w:spacing w:after="60" w:before="100"/>
        <w:jc w:val="center"/>
      </w:pPr>
      <w:r>
        <w:drawing>
          <wp:inline distT="0" distB="0" distL="0" distR="0">
            <wp:extent cx="4381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486025"/>
                    </a:xfrm>
                    <a:prstGeom prst="rect">
                      <a:avLst/>
                    </a:prstGeom>
                  </pic:spPr>
                </pic:pic>
              </a:graphicData>
            </a:graphic>
          </wp:inline>
        </w:drawing>
      </w:r>
    </w:p>
    <w:p>
      <w:pPr>
        <w:spacing w:after="200"/>
        <w:jc w:val="center"/>
      </w:pPr>
      <w:r>
        <w:rPr>
          <w:i/>
          <w:iCs/>
          <w:color w:val="666666"/>
          <w:sz w:val="18"/>
          <w:szCs w:val="18"/>
        </w:rPr>
        <w:t xml:space="preserve">Figure 2.2 — Reference Architecture Diagram Supporting the Technology Stack</w:t>
      </w:r>
    </w:p>
    <w:p>
      <w:pPr>
        <w:pStyle w:val="Heading3"/>
        <w:spacing w:after="90" w:before="180"/>
      </w:pPr>
      <w:r>
        <w:t xml:space="preserve">Technology Choice Justification</w:t>
      </w:r>
    </w:p>
    <w:p>
      <w:pPr>
        <w:spacing w:after="150"/>
        <w:jc w:val="both"/>
      </w:pPr>
      <w:r>
        <w:rPr>
          <w:b w:val="false"/>
          <w:bCs w:val="false"/>
          <w:i w:val="false"/>
          <w:iCs w:val="false"/>
        </w:rPr>
        <w:t xml:space="preserve">Flow Designer was selected over scripted Business Rules/Script Includes for the SLA monitoring engine because it is fully declarative, version-controllable via Update Sets, and maintainable by admins without developer involvement — directly supporting the project's zero-code goal.</w:t>
      </w:r>
    </w:p>
    <w:p>
      <w:pPr>
        <w:spacing w:after="150"/>
        <w:jc w:val="both"/>
      </w:pPr>
      <w:r>
        <w:rPr>
          <w:b w:val="false"/>
          <w:bCs w:val="false"/>
          <w:i w:val="false"/>
          <w:iCs w:val="false"/>
        </w:rPr>
        <w:t xml:space="preserve">Virtual Agent was selected as the engagement layer instead of a static form or email-only workflow because it converts a passive notification into an interactive, guided conversation, which the Empathy Map identified as a key driver of faster, more consistent agent response.</w:t>
      </w:r>
    </w:p>
    <w:p>
      <w:pPr>
        <w:spacing w:after="150"/>
        <w:jc w:val="both"/>
      </w:pPr>
      <w:r>
        <w:rPr>
          <w:b w:val="false"/>
          <w:bCs w:val="false"/>
          <w:i w:val="false"/>
          <w:iCs w:val="false"/>
        </w:rPr>
        <w:t xml:space="preserve">UI Policies and ACLs were chosen over custom client scripts and ACL scripts because they provide the same enforcement guarantees (mandatory fields, restricted access) while remaining fully declarative and auditable through the platform's native configuration history.</w:t>
      </w:r>
    </w:p>
    <w:p>
      <w:pPr>
        <w:spacing w:after="150"/>
        <w:jc w:val="both"/>
      </w:pPr>
      <w:r>
        <w:rPr>
          <w:b w:val="false"/>
          <w:bCs w:val="false"/>
          <w:i w:val="false"/>
          <w:iCs w:val="false"/>
        </w:rPr>
        <w:t xml:space="preserve">No external database, cloud service, or third-party integration is used: all data remains within the ServiceNow platform's native tables, minimizing security surface area and eliminating integration maintenance overhead.</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Virtual Agent–Driven SLA Breach Awareness &amp; Justification System — Phase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4"/>
      </w:pBdr>
      <w:spacing w:after="190" w:before="380"/>
    </w:pPr>
    <w:rPr>
      <w:rFonts w:ascii="Calibri" w:cs="Calibri" w:eastAsia="Calibri" w:hAnsi="Calibri"/>
      <w:b/>
      <w:bCs/>
      <w:color w:val="1F3864"/>
      <w:sz w:val="32"/>
      <w:szCs w:val="32"/>
    </w:rPr>
  </w:style>
  <w:style w:type="paragraph" w:styleId="Heading2">
    <w:name w:val="Heading 2"/>
    <w:basedOn w:val="Normal"/>
    <w:next w:val="Normal"/>
    <w:qFormat/>
    <w:pPr>
      <w:spacing w:after="140" w:before="280"/>
    </w:pPr>
    <w:rPr>
      <w:rFonts w:ascii="Calibri" w:cs="Calibri" w:eastAsia="Calibri" w:hAnsi="Calibri"/>
      <w:b/>
      <w:bCs/>
      <w:color w:val="2E74B5"/>
      <w:sz w:val="26"/>
      <w:szCs w:val="26"/>
    </w:rPr>
  </w:style>
  <w:style w:type="paragraph" w:styleId="Heading3">
    <w:name w:val="Heading 3"/>
    <w:basedOn w:val="Normal"/>
    <w:next w:val="Normal"/>
    <w:qFormat/>
    <w:pPr>
      <w:spacing w:after="90" w:before="180"/>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5a692a03e443b3b2339794f84238956aa24a51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2026-07-11T02:37:11.228Z</dcterms:created>
  <dcterms:modified xsi:type="dcterms:W3CDTF">2026-07-11T02:37:11.228Z</dcterms:modified>
</cp:coreProperties>
</file>

<file path=docProps/custom.xml><?xml version="1.0" encoding="utf-8"?>
<Properties xmlns="http://schemas.openxmlformats.org/officeDocument/2006/custom-properties" xmlns:vt="http://schemas.openxmlformats.org/officeDocument/2006/docPropsVTypes"/>
</file>