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4B5"/>
          <w:sz w:val="22"/>
          <w:szCs w:val="22"/>
        </w:rPr>
        <w:t xml:space="preserve">Phase 1 — Ideation Phase</w:t>
      </w:r>
    </w:p>
    <w:p>
      <w:pPr>
        <w:spacing w:after="240"/>
      </w:pPr>
      <w:r>
        <w:rPr>
          <w:b/>
          <w:bCs/>
          <w:color w:val="1F3864"/>
          <w:sz w:val="40"/>
          <w:szCs w:val="40"/>
        </w:rPr>
        <w:t xml:space="preserve">Empathy Map Canvas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70"/>
              <w:left w:type="dxa" w:w="110"/>
              <w:bottom w:type="dxa" w:w="70"/>
              <w:right w:type="dxa" w:w="110"/>
            </w:tcMar>
            <w:vAlign w:val="center"/>
          </w:tcPr>
          <w:p>
            <w:r>
              <w:rPr>
                <w:b/>
                <w:bCs/>
                <w:color w:val="FFFFFF"/>
                <w:sz w:val="20"/>
                <w:szCs w:val="20"/>
              </w:rPr>
              <w:t xml:space="preserve">Field</w:t>
            </w:r>
          </w:p>
        </w:tc>
        <w:tc>
          <w:tcPr>
            <w:tcW w:type="dxa" w:w="6800"/>
            <w:shd w:fill="1F3864" w:color="auto" w:val="clear"/>
            <w:tcMar>
              <w:top w:type="dxa" w:w="70"/>
              <w:left w:type="dxa" w:w="110"/>
              <w:bottom w:type="dxa" w:w="70"/>
              <w:right w:type="dxa" w:w="110"/>
            </w:tcMar>
            <w:vAlign w:val="center"/>
          </w:tcPr>
          <w:p>
            <w:r>
              <w:rPr>
                <w:b/>
                <w:bCs/>
                <w:color w:val="FFFFFF"/>
                <w:sz w:val="20"/>
                <w:szCs w:val="20"/>
              </w:rPr>
              <w:t xml:space="preserve">Value</w:t>
            </w:r>
          </w:p>
        </w:tc>
      </w:tr>
      <w:tr>
        <w:tc>
          <w:tcPr>
            <w:tcW w:type="dxa" w:w="2200"/>
            <w:shd w:fill="FFFFFF" w:color="auto" w:val="clear"/>
            <w:tcMar>
              <w:top w:type="dxa" w:w="70"/>
              <w:left w:type="dxa" w:w="110"/>
              <w:bottom w:type="dxa" w:w="70"/>
              <w:right w:type="dxa" w:w="110"/>
            </w:tcMar>
            <w:vAlign w:val="center"/>
          </w:tcPr>
          <w:p>
            <w:r>
              <w:rPr>
                <w:b w:val="false"/>
                <w:bCs w:val="false"/>
                <w:color w:val="000000"/>
                <w:sz w:val="20"/>
                <w:szCs w:val="20"/>
              </w:rPr>
              <w:t xml:space="preserve">Date</w:t>
            </w:r>
          </w:p>
        </w:tc>
        <w:tc>
          <w:tcPr>
            <w:tcW w:type="dxa" w:w="6800"/>
            <w:shd w:fill="FFFFFF" w:color="auto" w:val="clear"/>
            <w:tcMar>
              <w:top w:type="dxa" w:w="70"/>
              <w:left w:type="dxa" w:w="110"/>
              <w:bottom w:type="dxa" w:w="70"/>
              <w:right w:type="dxa" w:w="110"/>
            </w:tcMar>
            <w:vAlign w:val="center"/>
          </w:tcPr>
          <w:p>
            <w:r>
              <w:rPr>
                <w:b w:val="false"/>
                <w:bCs w:val="false"/>
                <w:color w:val="000000"/>
                <w:sz w:val="20"/>
                <w:szCs w:val="20"/>
              </w:rPr>
              <w:t xml:space="preserve">31 January 2026</w:t>
            </w:r>
          </w:p>
        </w:tc>
      </w:tr>
      <w:tr>
        <w:tc>
          <w:tcPr>
            <w:tcW w:type="dxa" w:w="2200"/>
            <w:shd w:fill="F2F2F2" w:color="auto" w:val="clear"/>
            <w:tcMar>
              <w:top w:type="dxa" w:w="70"/>
              <w:left w:type="dxa" w:w="110"/>
              <w:bottom w:type="dxa" w:w="70"/>
              <w:right w:type="dxa" w:w="110"/>
            </w:tcMar>
            <w:vAlign w:val="center"/>
          </w:tcPr>
          <w:p>
            <w:r>
              <w:rPr>
                <w:b w:val="false"/>
                <w:bCs w:val="false"/>
                <w:color w:val="000000"/>
                <w:sz w:val="20"/>
                <w:szCs w:val="20"/>
              </w:rPr>
              <w:t xml:space="preserve">Team ID</w:t>
            </w:r>
          </w:p>
        </w:tc>
        <w:tc>
          <w:tcPr>
            <w:tcW w:type="dxa" w:w="6800"/>
            <w:shd w:fill="F2F2F2" w:color="auto" w:val="clear"/>
            <w:tcMar>
              <w:top w:type="dxa" w:w="70"/>
              <w:left w:type="dxa" w:w="110"/>
              <w:bottom w:type="dxa" w:w="70"/>
              <w:right w:type="dxa" w:w="110"/>
            </w:tcMar>
            <w:vAlign w:val="center"/>
          </w:tcPr>
          <w:p>
            <w:r>
              <w:rPr>
                <w:b w:val="false"/>
                <w:bCs w:val="false"/>
                <w:color w:val="000000"/>
                <w:sz w:val="20"/>
                <w:szCs w:val="20"/>
              </w:rPr>
              <w:t xml:space="preserve">SWTID-2026-1543</w:t>
            </w:r>
          </w:p>
        </w:tc>
      </w:tr>
      <w:tr>
        <w:tc>
          <w:tcPr>
            <w:tcW w:type="dxa" w:w="2200"/>
            <w:shd w:fill="FFFFFF" w:color="auto" w:val="clear"/>
            <w:tcMar>
              <w:top w:type="dxa" w:w="70"/>
              <w:left w:type="dxa" w:w="110"/>
              <w:bottom w:type="dxa" w:w="70"/>
              <w:right w:type="dxa" w:w="110"/>
            </w:tcMar>
            <w:vAlign w:val="center"/>
          </w:tcPr>
          <w:p>
            <w:r>
              <w:rPr>
                <w:b w:val="false"/>
                <w:bCs w:val="false"/>
                <w:color w:val="000000"/>
                <w:sz w:val="20"/>
                <w:szCs w:val="20"/>
              </w:rPr>
              <w:t xml:space="preserve">Project Name</w:t>
            </w:r>
          </w:p>
        </w:tc>
        <w:tc>
          <w:tcPr>
            <w:tcW w:type="dxa" w:w="6800"/>
            <w:shd w:fill="FFFFFF" w:color="auto" w:val="clear"/>
            <w:tcMar>
              <w:top w:type="dxa" w:w="70"/>
              <w:left w:type="dxa" w:w="110"/>
              <w:bottom w:type="dxa" w:w="70"/>
              <w:right w:type="dxa" w:w="110"/>
            </w:tcMar>
            <w:vAlign w:val="center"/>
          </w:tcPr>
          <w:p>
            <w:r>
              <w:rPr>
                <w:b w:val="false"/>
                <w:bCs w:val="false"/>
                <w:color w:val="000000"/>
                <w:sz w:val="20"/>
                <w:szCs w:val="20"/>
              </w:rPr>
              <w:t xml:space="preserve">Virtual Agent–Driven SLA Breach Awareness &amp; Justification System</w:t>
            </w:r>
          </w:p>
        </w:tc>
      </w:tr>
      <w:tr>
        <w:tc>
          <w:tcPr>
            <w:tcW w:type="dxa" w:w="2200"/>
            <w:shd w:fill="F2F2F2" w:color="auto" w:val="clear"/>
            <w:tcMar>
              <w:top w:type="dxa" w:w="70"/>
              <w:left w:type="dxa" w:w="110"/>
              <w:bottom w:type="dxa" w:w="70"/>
              <w:right w:type="dxa" w:w="110"/>
            </w:tcMar>
            <w:vAlign w:val="center"/>
          </w:tcPr>
          <w:p>
            <w:r>
              <w:rPr>
                <w:b w:val="false"/>
                <w:bCs w:val="false"/>
                <w:color w:val="000000"/>
                <w:sz w:val="20"/>
                <w:szCs w:val="20"/>
              </w:rPr>
              <w:t xml:space="preserve">Maximum Marks</w:t>
            </w:r>
          </w:p>
        </w:tc>
        <w:tc>
          <w:tcPr>
            <w:tcW w:type="dxa" w:w="6800"/>
            <w:shd w:fill="F2F2F2" w:color="auto" w:val="clear"/>
            <w:tcMar>
              <w:top w:type="dxa" w:w="70"/>
              <w:left w:type="dxa" w:w="110"/>
              <w:bottom w:type="dxa" w:w="70"/>
              <w:right w:type="dxa" w:w="110"/>
            </w:tcMar>
            <w:vAlign w:val="center"/>
          </w:tcPr>
          <w:p>
            <w:r>
              <w:rPr>
                <w:b w:val="false"/>
                <w:bCs w:val="false"/>
                <w:color w:val="000000"/>
                <w:sz w:val="20"/>
                <w:szCs w:val="20"/>
              </w:rPr>
              <w:t xml:space="preserve">2 Marks</w:t>
            </w:r>
          </w:p>
        </w:tc>
      </w:tr>
    </w:tbl>
    <w:p>
      <w:pPr>
        <w:spacing w:after="150"/>
        <w:jc w:val="both"/>
      </w:pPr>
      <w:r>
        <w:rPr>
          <w:b w:val="false"/>
          <w:bCs w:val="false"/>
          <w:i w:val="false"/>
          <w:iCs w:val="false"/>
        </w:rPr>
        <w:t xml:space="preserve"/>
      </w:r>
    </w:p>
    <w:p>
      <w:pPr>
        <w:spacing w:after="150"/>
        <w:jc w:val="both"/>
      </w:pPr>
      <w:r>
        <w:rPr>
          <w:b w:val="false"/>
          <w:bCs w:val="false"/>
          <w:i w:val="false"/>
          <w:iCs w:val="false"/>
        </w:rPr>
        <w:t xml:space="preserve">Target User Persona: ITIL Service Desk Agent / Assigned Support Engineer — a frontline technical support agent managing active incidents under strict corporate Service Level Agreements (SLAs).</w:t>
      </w:r>
    </w:p>
    <w:p>
      <w:pPr>
        <w:spacing w:after="150"/>
        <w:jc w:val="both"/>
      </w:pPr>
      <w:r>
        <w:rPr>
          <w:b w:val="false"/>
          <w:bCs w:val="false"/>
          <w:i w:val="false"/>
          <w:iCs w:val="false"/>
        </w:rPr>
        <w:t xml:space="preserve">Methodology: The team conducted structured interviews and process-shadowing sessions with Service Desk agents and their managers, then synthesized recurring statements, behaviors, and emotional cues into the six quadrants of the Empathy Map Canvas below. This ensured the resulting problem statement was grounded in real user experience rather than assumption.</w:t>
      </w:r>
    </w:p>
    <w:p>
      <w:pPr>
        <w:spacing w:after="60" w:before="10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390775"/>
                    </a:xfrm>
                    <a:prstGeom prst="rect">
                      <a:avLst/>
                    </a:prstGeom>
                  </pic:spPr>
                </pic:pic>
              </a:graphicData>
            </a:graphic>
          </wp:inline>
        </w:drawing>
      </w:r>
    </w:p>
    <w:p>
      <w:pPr>
        <w:spacing w:after="200"/>
        <w:jc w:val="center"/>
      </w:pPr>
      <w:r>
        <w:rPr>
          <w:i/>
          <w:iCs/>
          <w:color w:val="666666"/>
          <w:sz w:val="18"/>
          <w:szCs w:val="18"/>
        </w:rPr>
        <w:t xml:space="preserve">Figure 1.1 — Empathy Map Canvas: Virtual Agent-Driven SLA Breach Awareness &amp; Justification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70"/>
              <w:left w:type="dxa" w:w="110"/>
              <w:bottom w:type="dxa" w:w="70"/>
              <w:right w:type="dxa" w:w="110"/>
            </w:tcMar>
            <w:vAlign w:val="center"/>
          </w:tcPr>
          <w:p>
            <w:r>
              <w:rPr>
                <w:b/>
                <w:bCs/>
                <w:color w:val="FFFFFF"/>
                <w:sz w:val="20"/>
                <w:szCs w:val="20"/>
              </w:rPr>
              <w:t xml:space="preserve">Quadrant</w:t>
            </w:r>
          </w:p>
        </w:tc>
        <w:tc>
          <w:tcPr>
            <w:tcW w:type="dxa" w:w="7200"/>
            <w:shd w:fill="1F3864" w:color="auto" w:val="clear"/>
            <w:tcMar>
              <w:top w:type="dxa" w:w="70"/>
              <w:left w:type="dxa" w:w="110"/>
              <w:bottom w:type="dxa" w:w="70"/>
              <w:right w:type="dxa" w:w="110"/>
            </w:tcMar>
            <w:vAlign w:val="center"/>
          </w:tcPr>
          <w:p>
            <w:r>
              <w:rPr>
                <w:b/>
                <w:bCs/>
                <w:color w:val="FFFFFF"/>
                <w:sz w:val="20"/>
                <w:szCs w:val="20"/>
              </w:rPr>
              <w:t xml:space="preserve">Summary</w:t>
            </w:r>
          </w:p>
        </w:tc>
      </w:tr>
      <w:tr>
        <w:tc>
          <w:tcPr>
            <w:tcW w:type="dxa" w:w="1800"/>
            <w:shd w:fill="FFFFFF" w:color="auto" w:val="clear"/>
            <w:tcMar>
              <w:top w:type="dxa" w:w="70"/>
              <w:left w:type="dxa" w:w="110"/>
              <w:bottom w:type="dxa" w:w="70"/>
              <w:right w:type="dxa" w:w="110"/>
            </w:tcMar>
            <w:vAlign w:val="center"/>
          </w:tcPr>
          <w:p>
            <w:r>
              <w:rPr>
                <w:b w:val="false"/>
                <w:bCs w:val="false"/>
                <w:color w:val="000000"/>
                <w:sz w:val="20"/>
                <w:szCs w:val="20"/>
              </w:rPr>
              <w:t xml:space="preserve">Think &amp; Feel</w:t>
            </w:r>
          </w:p>
        </w:tc>
        <w:tc>
          <w:tcPr>
            <w:tcW w:type="dxa" w:w="7200"/>
            <w:shd w:fill="FFFFFF" w:color="auto" w:val="clear"/>
            <w:tcMar>
              <w:top w:type="dxa" w:w="70"/>
              <w:left w:type="dxa" w:w="110"/>
              <w:bottom w:type="dxa" w:w="70"/>
              <w:right w:type="dxa" w:w="110"/>
            </w:tcMar>
            <w:vAlign w:val="center"/>
          </w:tcPr>
          <w:p>
            <w:r>
              <w:rPr>
                <w:b w:val="false"/>
                <w:bCs w:val="false"/>
                <w:color w:val="000000"/>
                <w:sz w:val="20"/>
                <w:szCs w:val="20"/>
              </w:rPr>
              <w:t xml:space="preserve">Stress / SLA anxiety; "Need automated warnings"; "Lock my audit trail entries"; accountability worries; relieved by the chatbot process</w:t>
            </w:r>
          </w:p>
        </w:tc>
      </w:tr>
      <w:tr>
        <w:tc>
          <w:tcPr>
            <w:tcW w:type="dxa" w:w="1800"/>
            <w:shd w:fill="F2F2F2" w:color="auto" w:val="clear"/>
            <w:tcMar>
              <w:top w:type="dxa" w:w="70"/>
              <w:left w:type="dxa" w:w="110"/>
              <w:bottom w:type="dxa" w:w="70"/>
              <w:right w:type="dxa" w:w="110"/>
            </w:tcMar>
            <w:vAlign w:val="center"/>
          </w:tcPr>
          <w:p>
            <w:r>
              <w:rPr>
                <w:b w:val="false"/>
                <w:bCs w:val="false"/>
                <w:color w:val="000000"/>
                <w:sz w:val="20"/>
                <w:szCs w:val="20"/>
              </w:rPr>
              <w:t xml:space="preserve">Hear</w:t>
            </w:r>
          </w:p>
        </w:tc>
        <w:tc>
          <w:tcPr>
            <w:tcW w:type="dxa" w:w="7200"/>
            <w:shd w:fill="F2F2F2" w:color="auto" w:val="clear"/>
            <w:tcMar>
              <w:top w:type="dxa" w:w="70"/>
              <w:left w:type="dxa" w:w="110"/>
              <w:bottom w:type="dxa" w:w="70"/>
              <w:right w:type="dxa" w:w="110"/>
            </w:tcMar>
            <w:vAlign w:val="center"/>
          </w:tcPr>
          <w:p>
            <w:r>
              <w:rPr>
                <w:b w:val="false"/>
                <w:bCs w:val="false"/>
                <w:color w:val="000000"/>
                <w:sz w:val="20"/>
                <w:szCs w:val="20"/>
              </w:rPr>
              <w:t xml:space="preserve">"Achieve 100% audit readiness"; "Why are compliance numbers low?"; complaints about heavy manual logs; demands for quick ticket resolution</w:t>
            </w:r>
          </w:p>
        </w:tc>
      </w:tr>
      <w:tr>
        <w:tc>
          <w:tcPr>
            <w:tcW w:type="dxa" w:w="1800"/>
            <w:shd w:fill="FFFFFF" w:color="auto" w:val="clear"/>
            <w:tcMar>
              <w:top w:type="dxa" w:w="70"/>
              <w:left w:type="dxa" w:w="110"/>
              <w:bottom w:type="dxa" w:w="70"/>
              <w:right w:type="dxa" w:w="110"/>
            </w:tcMar>
            <w:vAlign w:val="center"/>
          </w:tcPr>
          <w:p>
            <w:r>
              <w:rPr>
                <w:b w:val="false"/>
                <w:bCs w:val="false"/>
                <w:color w:val="000000"/>
                <w:sz w:val="20"/>
                <w:szCs w:val="20"/>
              </w:rPr>
              <w:t xml:space="preserve">See</w:t>
            </w:r>
          </w:p>
        </w:tc>
        <w:tc>
          <w:tcPr>
            <w:tcW w:type="dxa" w:w="7200"/>
            <w:shd w:fill="FFFFFF" w:color="auto" w:val="clear"/>
            <w:tcMar>
              <w:top w:type="dxa" w:w="70"/>
              <w:left w:type="dxa" w:w="110"/>
              <w:bottom w:type="dxa" w:w="70"/>
              <w:right w:type="dxa" w:w="110"/>
            </w:tcMar>
            <w:vAlign w:val="center"/>
          </w:tcPr>
          <w:p>
            <w:r>
              <w:rPr>
                <w:b w:val="false"/>
                <w:bCs w:val="false"/>
                <w:color w:val="000000"/>
                <w:sz w:val="20"/>
                <w:szCs w:val="20"/>
              </w:rPr>
              <w:t xml:space="preserve">Ticking countdown timers; at-risk flags (80%+); Virtual Agent portal link; pending ticket queues; vendor delay emails</w:t>
            </w:r>
          </w:p>
        </w:tc>
      </w:tr>
      <w:tr>
        <w:tc>
          <w:tcPr>
            <w:tcW w:type="dxa" w:w="1800"/>
            <w:shd w:fill="F2F2F2" w:color="auto" w:val="clear"/>
            <w:tcMar>
              <w:top w:type="dxa" w:w="70"/>
              <w:left w:type="dxa" w:w="110"/>
              <w:bottom w:type="dxa" w:w="70"/>
              <w:right w:type="dxa" w:w="110"/>
            </w:tcMar>
            <w:vAlign w:val="center"/>
          </w:tcPr>
          <w:p>
            <w:r>
              <w:rPr>
                <w:b w:val="false"/>
                <w:bCs w:val="false"/>
                <w:color w:val="000000"/>
                <w:sz w:val="20"/>
                <w:szCs w:val="20"/>
              </w:rPr>
              <w:t xml:space="preserve">Say &amp; Do</w:t>
            </w:r>
          </w:p>
        </w:tc>
        <w:tc>
          <w:tcPr>
            <w:tcW w:type="dxa" w:w="7200"/>
            <w:shd w:fill="F2F2F2" w:color="auto" w:val="clear"/>
            <w:tcMar>
              <w:top w:type="dxa" w:w="70"/>
              <w:left w:type="dxa" w:w="110"/>
              <w:bottom w:type="dxa" w:w="70"/>
              <w:right w:type="dxa" w:w="110"/>
            </w:tcMar>
            <w:vAlign w:val="center"/>
          </w:tcPr>
          <w:p>
            <w:r>
              <w:rPr>
                <w:b w:val="false"/>
                <w:bCs w:val="false"/>
                <w:color w:val="000000"/>
                <w:sz w:val="20"/>
                <w:szCs w:val="20"/>
              </w:rPr>
              <w:t xml:space="preserve">"Missed the threshold warning!"; chatting with the Virtual Agent; selecting breach categories; logging text justifications</w:t>
            </w:r>
          </w:p>
        </w:tc>
      </w:tr>
      <w:tr>
        <w:tc>
          <w:tcPr>
            <w:tcW w:type="dxa" w:w="1800"/>
            <w:shd w:fill="FFFFFF" w:color="auto" w:val="clear"/>
            <w:tcMar>
              <w:top w:type="dxa" w:w="70"/>
              <w:left w:type="dxa" w:w="110"/>
              <w:bottom w:type="dxa" w:w="70"/>
              <w:right w:type="dxa" w:w="110"/>
            </w:tcMar>
            <w:vAlign w:val="center"/>
          </w:tcPr>
          <w:p>
            <w:r>
              <w:rPr>
                <w:b w:val="false"/>
                <w:bCs w:val="false"/>
                <w:color w:val="000000"/>
                <w:sz w:val="20"/>
                <w:szCs w:val="20"/>
              </w:rPr>
              <w:t xml:space="preserve">Pains</w:t>
            </w:r>
          </w:p>
        </w:tc>
        <w:tc>
          <w:tcPr>
            <w:tcW w:type="dxa" w:w="7200"/>
            <w:shd w:fill="FFFFFF" w:color="auto" w:val="clear"/>
            <w:tcMar>
              <w:top w:type="dxa" w:w="70"/>
              <w:left w:type="dxa" w:w="110"/>
              <w:bottom w:type="dxa" w:w="70"/>
              <w:right w:type="dxa" w:w="110"/>
            </w:tcMar>
            <w:vAlign w:val="center"/>
          </w:tcPr>
          <w:p>
            <w:r>
              <w:rPr>
                <w:b w:val="false"/>
                <w:bCs w:val="false"/>
                <w:color w:val="000000"/>
                <w:sz w:val="20"/>
                <w:szCs w:val="20"/>
              </w:rPr>
              <w:t xml:space="preserve">Late alerts (after breach); heavy manual form fields; unauthorized data edits; performance metric penalties</w:t>
            </w:r>
          </w:p>
        </w:tc>
      </w:tr>
      <w:tr>
        <w:tc>
          <w:tcPr>
            <w:tcW w:type="dxa" w:w="1800"/>
            <w:shd w:fill="F2F2F2" w:color="auto" w:val="clear"/>
            <w:tcMar>
              <w:top w:type="dxa" w:w="70"/>
              <w:left w:type="dxa" w:w="110"/>
              <w:bottom w:type="dxa" w:w="70"/>
              <w:right w:type="dxa" w:w="110"/>
            </w:tcMar>
            <w:vAlign w:val="center"/>
          </w:tcPr>
          <w:p>
            <w:r>
              <w:rPr>
                <w:b w:val="false"/>
                <w:bCs w:val="false"/>
                <w:color w:val="000000"/>
                <w:sz w:val="20"/>
                <w:szCs w:val="20"/>
              </w:rPr>
              <w:t xml:space="preserve">Gains</w:t>
            </w:r>
          </w:p>
        </w:tc>
        <w:tc>
          <w:tcPr>
            <w:tcW w:type="dxa" w:w="7200"/>
            <w:shd w:fill="F2F2F2" w:color="auto" w:val="clear"/>
            <w:tcMar>
              <w:top w:type="dxa" w:w="70"/>
              <w:left w:type="dxa" w:w="110"/>
              <w:bottom w:type="dxa" w:w="70"/>
              <w:right w:type="dxa" w:w="110"/>
            </w:tcMar>
            <w:vAlign w:val="center"/>
          </w:tcPr>
          <w:p>
            <w:r>
              <w:rPr>
                <w:b w:val="false"/>
                <w:bCs w:val="false"/>
                <w:color w:val="000000"/>
                <w:sz w:val="20"/>
                <w:szCs w:val="20"/>
              </w:rPr>
              <w:t xml:space="preserve">Proactive risk visibility; fast conversational tracking; unalterable, secure audit records; clear executive dashboards</w:t>
            </w:r>
          </w:p>
        </w:tc>
      </w:tr>
    </w:tbl>
    <w:p>
      <w:pPr>
        <w:pStyle w:val="Heading3"/>
        <w:spacing w:after="90" w:before="180"/>
      </w:pPr>
      <w:r>
        <w:t xml:space="preserve">Persona Snapshot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70"/>
              <w:left w:type="dxa" w:w="110"/>
              <w:bottom w:type="dxa" w:w="70"/>
              <w:right w:type="dxa" w:w="110"/>
            </w:tcMar>
            <w:vAlign w:val="center"/>
          </w:tcPr>
          <w:p>
            <w:r>
              <w:rPr>
                <w:b/>
                <w:bCs/>
                <w:color w:val="FFFFFF"/>
                <w:sz w:val="20"/>
                <w:szCs w:val="20"/>
              </w:rPr>
              <w:t xml:space="preserve">Attribute</w:t>
            </w:r>
          </w:p>
        </w:tc>
        <w:tc>
          <w:tcPr>
            <w:tcW w:type="dxa" w:w="7200"/>
            <w:shd w:fill="1F3864" w:color="auto" w:val="clear"/>
            <w:tcMar>
              <w:top w:type="dxa" w:w="70"/>
              <w:left w:type="dxa" w:w="110"/>
              <w:bottom w:type="dxa" w:w="70"/>
              <w:right w:type="dxa" w:w="110"/>
            </w:tcMar>
            <w:vAlign w:val="center"/>
          </w:tcPr>
          <w:p>
            <w:r>
              <w:rPr>
                <w:b/>
                <w:bCs/>
                <w:color w:val="FFFFFF"/>
                <w:sz w:val="20"/>
                <w:szCs w:val="20"/>
              </w:rPr>
              <w:t xml:space="preserve">Description</w:t>
            </w:r>
          </w:p>
        </w:tc>
      </w:tr>
      <w:tr>
        <w:tc>
          <w:tcPr>
            <w:tcW w:type="dxa" w:w="1800"/>
            <w:shd w:fill="FFFFFF" w:color="auto" w:val="clear"/>
            <w:tcMar>
              <w:top w:type="dxa" w:w="70"/>
              <w:left w:type="dxa" w:w="110"/>
              <w:bottom w:type="dxa" w:w="70"/>
              <w:right w:type="dxa" w:w="110"/>
            </w:tcMar>
            <w:vAlign w:val="center"/>
          </w:tcPr>
          <w:p>
            <w:r>
              <w:rPr>
                <w:b w:val="false"/>
                <w:bCs w:val="false"/>
                <w:color w:val="000000"/>
                <w:sz w:val="20"/>
                <w:szCs w:val="20"/>
              </w:rPr>
              <w:t xml:space="preserve">Role</w:t>
            </w:r>
          </w:p>
        </w:tc>
        <w:tc>
          <w:tcPr>
            <w:tcW w:type="dxa" w:w="7200"/>
            <w:shd w:fill="FFFFFF" w:color="auto" w:val="clear"/>
            <w:tcMar>
              <w:top w:type="dxa" w:w="70"/>
              <w:left w:type="dxa" w:w="110"/>
              <w:bottom w:type="dxa" w:w="70"/>
              <w:right w:type="dxa" w:w="110"/>
            </w:tcMar>
            <w:vAlign w:val="center"/>
          </w:tcPr>
          <w:p>
            <w:r>
              <w:rPr>
                <w:b w:val="false"/>
                <w:bCs w:val="false"/>
                <w:color w:val="000000"/>
                <w:sz w:val="20"/>
                <w:szCs w:val="20"/>
              </w:rPr>
              <w:t xml:space="preserve">ITIL Service Desk Agent (Level 1/2 Support), also representative of Service Desk Managers and Compliance Auditors as secondary stakeholders</w:t>
            </w:r>
          </w:p>
        </w:tc>
      </w:tr>
      <w:tr>
        <w:tc>
          <w:tcPr>
            <w:tcW w:type="dxa" w:w="1800"/>
            <w:shd w:fill="F2F2F2" w:color="auto" w:val="clear"/>
            <w:tcMar>
              <w:top w:type="dxa" w:w="70"/>
              <w:left w:type="dxa" w:w="110"/>
              <w:bottom w:type="dxa" w:w="70"/>
              <w:right w:type="dxa" w:w="110"/>
            </w:tcMar>
            <w:vAlign w:val="center"/>
          </w:tcPr>
          <w:p>
            <w:r>
              <w:rPr>
                <w:b w:val="false"/>
                <w:bCs w:val="false"/>
                <w:color w:val="000000"/>
                <w:sz w:val="20"/>
                <w:szCs w:val="20"/>
              </w:rPr>
              <w:t xml:space="preserve">Daily Context</w:t>
            </w:r>
          </w:p>
        </w:tc>
        <w:tc>
          <w:tcPr>
            <w:tcW w:type="dxa" w:w="7200"/>
            <w:shd w:fill="F2F2F2" w:color="auto" w:val="clear"/>
            <w:tcMar>
              <w:top w:type="dxa" w:w="70"/>
              <w:left w:type="dxa" w:w="110"/>
              <w:bottom w:type="dxa" w:w="70"/>
              <w:right w:type="dxa" w:w="110"/>
            </w:tcMar>
            <w:vAlign w:val="center"/>
          </w:tcPr>
          <w:p>
            <w:r>
              <w:rPr>
                <w:b w:val="false"/>
                <w:bCs w:val="false"/>
                <w:color w:val="000000"/>
                <w:sz w:val="20"/>
                <w:szCs w:val="20"/>
              </w:rPr>
              <w:t xml:space="preserve">Manages 10–20 concurrent incidents/tasks, each bound by a contractual or internal SLA; works within the standard ServiceNow Agent Workspace</w:t>
            </w:r>
          </w:p>
        </w:tc>
      </w:tr>
      <w:tr>
        <w:tc>
          <w:tcPr>
            <w:tcW w:type="dxa" w:w="1800"/>
            <w:shd w:fill="FFFFFF" w:color="auto" w:val="clear"/>
            <w:tcMar>
              <w:top w:type="dxa" w:w="70"/>
              <w:left w:type="dxa" w:w="110"/>
              <w:bottom w:type="dxa" w:w="70"/>
              <w:right w:type="dxa" w:w="110"/>
            </w:tcMar>
            <w:vAlign w:val="center"/>
          </w:tcPr>
          <w:p>
            <w:r>
              <w:rPr>
                <w:b w:val="false"/>
                <w:bCs w:val="false"/>
                <w:color w:val="000000"/>
                <w:sz w:val="20"/>
                <w:szCs w:val="20"/>
              </w:rPr>
              <w:t xml:space="preserve">Primary Goal</w:t>
            </w:r>
          </w:p>
        </w:tc>
        <w:tc>
          <w:tcPr>
            <w:tcW w:type="dxa" w:w="7200"/>
            <w:shd w:fill="FFFFFF" w:color="auto" w:val="clear"/>
            <w:tcMar>
              <w:top w:type="dxa" w:w="70"/>
              <w:left w:type="dxa" w:w="110"/>
              <w:bottom w:type="dxa" w:w="70"/>
              <w:right w:type="dxa" w:w="110"/>
            </w:tcMar>
            <w:vAlign w:val="center"/>
          </w:tcPr>
          <w:p>
            <w:r>
              <w:rPr>
                <w:b w:val="false"/>
                <w:bCs w:val="false"/>
                <w:color w:val="000000"/>
                <w:sz w:val="20"/>
                <w:szCs w:val="20"/>
              </w:rPr>
              <w:t xml:space="preserve">Resolve incidents within SLA while maintaining an accurate, defensible audit trail</w:t>
            </w:r>
          </w:p>
        </w:tc>
      </w:tr>
      <w:tr>
        <w:tc>
          <w:tcPr>
            <w:tcW w:type="dxa" w:w="1800"/>
            <w:shd w:fill="F2F2F2" w:color="auto" w:val="clear"/>
            <w:tcMar>
              <w:top w:type="dxa" w:w="70"/>
              <w:left w:type="dxa" w:w="110"/>
              <w:bottom w:type="dxa" w:w="70"/>
              <w:right w:type="dxa" w:w="110"/>
            </w:tcMar>
            <w:vAlign w:val="center"/>
          </w:tcPr>
          <w:p>
            <w:r>
              <w:rPr>
                <w:b w:val="false"/>
                <w:bCs w:val="false"/>
                <w:color w:val="000000"/>
                <w:sz w:val="20"/>
                <w:szCs w:val="20"/>
              </w:rPr>
              <w:t xml:space="preserve">Biggest Frustration</w:t>
            </w:r>
          </w:p>
        </w:tc>
        <w:tc>
          <w:tcPr>
            <w:tcW w:type="dxa" w:w="7200"/>
            <w:shd w:fill="F2F2F2" w:color="auto" w:val="clear"/>
            <w:tcMar>
              <w:top w:type="dxa" w:w="70"/>
              <w:left w:type="dxa" w:w="110"/>
              <w:bottom w:type="dxa" w:w="70"/>
              <w:right w:type="dxa" w:w="110"/>
            </w:tcMar>
            <w:vAlign w:val="center"/>
          </w:tcPr>
          <w:p>
            <w:r>
              <w:rPr>
                <w:b w:val="false"/>
                <w:bCs w:val="false"/>
                <w:color w:val="000000"/>
                <w:sz w:val="20"/>
                <w:szCs w:val="20"/>
              </w:rPr>
              <w:t xml:space="preserve">Discovering an SLA has already breached with no prior warning, then having to manually reconstruct what happened for reporting</w:t>
            </w:r>
          </w:p>
        </w:tc>
      </w:tr>
      <w:tr>
        <w:tc>
          <w:tcPr>
            <w:tcW w:type="dxa" w:w="1800"/>
            <w:shd w:fill="FFFFFF" w:color="auto" w:val="clear"/>
            <w:tcMar>
              <w:top w:type="dxa" w:w="70"/>
              <w:left w:type="dxa" w:w="110"/>
              <w:bottom w:type="dxa" w:w="70"/>
              <w:right w:type="dxa" w:w="110"/>
            </w:tcMar>
            <w:vAlign w:val="center"/>
          </w:tcPr>
          <w:p>
            <w:r>
              <w:rPr>
                <w:b w:val="false"/>
                <w:bCs w:val="false"/>
                <w:color w:val="000000"/>
                <w:sz w:val="20"/>
                <w:szCs w:val="20"/>
              </w:rPr>
              <w:t xml:space="preserve">Definition of Success</w:t>
            </w:r>
          </w:p>
        </w:tc>
        <w:tc>
          <w:tcPr>
            <w:tcW w:type="dxa" w:w="7200"/>
            <w:shd w:fill="FFFFFF" w:color="auto" w:val="clear"/>
            <w:tcMar>
              <w:top w:type="dxa" w:w="70"/>
              <w:left w:type="dxa" w:w="110"/>
              <w:bottom w:type="dxa" w:w="70"/>
              <w:right w:type="dxa" w:w="110"/>
            </w:tcMar>
            <w:vAlign w:val="center"/>
          </w:tcPr>
          <w:p>
            <w:r>
              <w:rPr>
                <w:b w:val="false"/>
                <w:bCs w:val="false"/>
                <w:color w:val="000000"/>
                <w:sz w:val="20"/>
                <w:szCs w:val="20"/>
              </w:rPr>
              <w:t xml:space="preserve">Zero surprise breaches; every breach that does occur is instantly, clearly justified and logged</w:t>
            </w:r>
          </w:p>
        </w:tc>
      </w:tr>
    </w:tbl>
    <w:p>
      <w:pPr>
        <w:pStyle w:val="Heading3"/>
        <w:spacing w:after="90" w:before="180"/>
      </w:pPr>
      <w:r>
        <w:t xml:space="preserve">Key Insights Derived</w:t>
      </w:r>
    </w:p>
    <w:p>
      <w:pPr>
        <w:pStyle w:val="ListParagraph"/>
        <w:numPr>
          <w:ilvl w:val="0"/>
          <w:numId w:val="1"/>
        </w:numPr>
        <w:spacing w:after="90"/>
      </w:pPr>
      <w:r>
        <w:t xml:space="preserve">Agents want a nudge, not a scold — the notification needs to arrive while corrective action is still possible, not as a post-mortem.</w:t>
      </w:r>
    </w:p>
    <w:p>
      <w:pPr>
        <w:pStyle w:val="ListParagraph"/>
        <w:numPr>
          <w:ilvl w:val="0"/>
          <w:numId w:val="1"/>
        </w:numPr>
        <w:spacing w:after="90"/>
      </w:pPr>
      <w:r>
        <w:t xml:space="preserve">Manual logging is the single biggest source of friction; anything that reduces typing/clicking during an already-stressful moment will be adopted more readily.</w:t>
      </w:r>
    </w:p>
    <w:p>
      <w:pPr>
        <w:pStyle w:val="ListParagraph"/>
        <w:numPr>
          <w:ilvl w:val="0"/>
          <w:numId w:val="1"/>
        </w:numPr>
        <w:spacing w:after="90"/>
      </w:pPr>
      <w:r>
        <w:t xml:space="preserve">Trust in the audit trail matters as much as the trail itself — agents specifically asked for entries that cannot later be edited or disputed.</w:t>
      </w:r>
    </w:p>
    <w:p>
      <w:pPr>
        <w:pStyle w:val="ListParagraph"/>
        <w:numPr>
          <w:ilvl w:val="0"/>
          <w:numId w:val="1"/>
        </w:numPr>
        <w:spacing w:after="90"/>
      </w:pPr>
      <w:r>
        <w:t xml:space="preserve">Managers and auditors need a summarized, not raw, view — they don't want to sift through individual tickets to understand SLA health.</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Virtual Agent–Driven SLA Breach Awareness &amp; Justification System — Phase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90" w:before="380"/>
    </w:pPr>
    <w:rPr>
      <w:rFonts w:ascii="Calibri" w:cs="Calibri" w:eastAsia="Calibri" w:hAnsi="Calibri"/>
      <w:b/>
      <w:bCs/>
      <w:color w:val="1F3864"/>
      <w:sz w:val="32"/>
      <w:szCs w:val="32"/>
    </w:rPr>
  </w:style>
  <w:style w:type="paragraph" w:styleId="Heading2">
    <w:name w:val="Heading 2"/>
    <w:basedOn w:val="Normal"/>
    <w:next w:val="Normal"/>
    <w:qFormat/>
    <w:pPr>
      <w:spacing w:after="140" w:before="280"/>
    </w:pPr>
    <w:rPr>
      <w:rFonts w:ascii="Calibri" w:cs="Calibri" w:eastAsia="Calibri" w:hAnsi="Calibri"/>
      <w:b/>
      <w:bCs/>
      <w:color w:val="2E74B5"/>
      <w:sz w:val="26"/>
      <w:szCs w:val="26"/>
    </w:rPr>
  </w:style>
  <w:style w:type="paragraph" w:styleId="Heading3">
    <w:name w:val="Heading 3"/>
    <w:basedOn w:val="Normal"/>
    <w:next w:val="Normal"/>
    <w:qFormat/>
    <w:pPr>
      <w:spacing w:after="90" w:before="180"/>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a957e9f2f7c58ea6eccb25a19409e3840a739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2026-07-11T02:37:11.138Z</dcterms:created>
  <dcterms:modified xsi:type="dcterms:W3CDTF">2026-07-11T02:37:11.138Z</dcterms:modified>
</cp:coreProperties>
</file>

<file path=docProps/custom.xml><?xml version="1.0" encoding="utf-8"?>
<Properties xmlns="http://schemas.openxmlformats.org/officeDocument/2006/custom-properties" xmlns:vt="http://schemas.openxmlformats.org/officeDocument/2006/docPropsVTypes"/>
</file>