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2"/>
          <w:szCs w:val="22"/>
        </w:rPr>
        <w:t xml:space="preserve">Phase 3 — Project Design Phase</w:t>
      </w:r>
    </w:p>
    <w:p>
      <w:pPr>
        <w:spacing w:after="240"/>
      </w:pPr>
      <w:r>
        <w:rPr>
          <w:b/>
          <w:bCs/>
          <w:color w:val="1F3864"/>
          <w:sz w:val="40"/>
          <w:szCs w:val="40"/>
        </w:rPr>
        <w:t xml:space="preserve">Problem – Solution Fit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110"/>
              <w:bottom w:type="dxa" w:w="70"/>
              <w:right w:type="dxa" w:w="110"/>
            </w:tcMar>
            <w:vAlign w:val="center"/>
          </w:tcPr>
          <w:p>
            <w:r>
              <w:rPr>
                <w:b/>
                <w:bCs/>
                <w:color w:val="FFFFFF"/>
                <w:sz w:val="20"/>
                <w:szCs w:val="20"/>
              </w:rPr>
              <w:t xml:space="preserve">Field</w:t>
            </w:r>
          </w:p>
        </w:tc>
        <w:tc>
          <w:tcPr>
            <w:tcW w:type="dxa" w:w="6800"/>
            <w:shd w:fill="1F3864" w:color="auto" w:val="clear"/>
            <w:tcMar>
              <w:top w:type="dxa" w:w="70"/>
              <w:left w:type="dxa" w:w="110"/>
              <w:bottom w:type="dxa" w:w="70"/>
              <w:right w:type="dxa" w:w="110"/>
            </w:tcMar>
            <w:vAlign w:val="center"/>
          </w:tcPr>
          <w:p>
            <w:r>
              <w:rPr>
                <w:b/>
                <w:bCs/>
                <w:color w:val="FFFFFF"/>
                <w:sz w:val="20"/>
                <w:szCs w:val="20"/>
              </w:rPr>
              <w:t xml:space="preserve">Value</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Date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15 February 2026</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Team ID</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SWTID-2026-1543</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Project Name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Virtual Agent–Driven SLA Breach Awareness &amp; Justification System</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Maximum Marks</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2 Marks</w:t>
            </w:r>
          </w:p>
        </w:tc>
      </w:tr>
    </w:tbl>
    <w:p>
      <w:pPr>
        <w:spacing w:after="150"/>
        <w:jc w:val="both"/>
      </w:pPr>
      <w:r>
        <w:rPr>
          <w:b w:val="false"/>
          <w:bCs w:val="false"/>
          <w:i w:val="false"/>
          <w:iCs w:val="false"/>
        </w:rPr>
        <w:t xml:space="preserve"/>
      </w:r>
    </w:p>
    <w:p>
      <w:pPr>
        <w:spacing w:after="150"/>
        <w:jc w:val="both"/>
      </w:pPr>
      <w:r>
        <w:rPr>
          <w:b w:val="false"/>
          <w:bCs w:val="false"/>
          <w:i w:val="false"/>
          <w:iCs w:val="false"/>
        </w:rPr>
        <w:t xml:space="preserve">SLA breaches are typically discovered only after they occur, leaving no window for corrective action and no enforced record of accountability. The proposed solution fits this gap directly:</w:t>
      </w:r>
    </w:p>
    <w:p>
      <w:pPr>
        <w:pStyle w:val="ListParagraph"/>
        <w:numPr>
          <w:ilvl w:val="0"/>
          <w:numId w:val="1"/>
        </w:numPr>
        <w:spacing w:after="90"/>
      </w:pPr>
      <w:r>
        <w:t xml:space="preserve">Automated, threshold-based detection replaces manual monitoring of SLA timers.</w:t>
      </w:r>
    </w:p>
    <w:p>
      <w:pPr>
        <w:pStyle w:val="ListParagraph"/>
        <w:numPr>
          <w:ilvl w:val="0"/>
          <w:numId w:val="1"/>
        </w:numPr>
        <w:spacing w:after="90"/>
      </w:pPr>
      <w:r>
        <w:t xml:space="preserve">Conversational Virtual Agent guidance replaces passive email alerts that go unread.</w:t>
      </w:r>
    </w:p>
    <w:p>
      <w:pPr>
        <w:pStyle w:val="ListParagraph"/>
        <w:numPr>
          <w:ilvl w:val="0"/>
          <w:numId w:val="1"/>
        </w:numPr>
        <w:spacing w:after="90"/>
      </w:pPr>
      <w:r>
        <w:t xml:space="preserve">Mandatory, UI-Policy-enforced justification replaces optional, inconsistent breach notes.</w:t>
      </w:r>
    </w:p>
    <w:p>
      <w:pPr>
        <w:pStyle w:val="ListParagraph"/>
        <w:numPr>
          <w:ilvl w:val="0"/>
          <w:numId w:val="1"/>
        </w:numPr>
        <w:spacing w:after="90"/>
      </w:pPr>
      <w:r>
        <w:t xml:space="preserve">Role-based access combined with an executive dashboard replaces fragmented, manually compiled SLA reports.</w:t>
      </w:r>
    </w:p>
    <w:p>
      <w:pPr>
        <w:spacing w:after="150"/>
        <w:jc w:val="both"/>
      </w:pPr>
      <w:r>
        <w:rPr>
          <w:b w:val="false"/>
          <w:bCs w:val="false"/>
          <w:i w:val="false"/>
          <w:iCs w:val="false"/>
        </w:rPr>
        <w:t xml:space="preserve">Every native ServiceNow capability used maps directly to a pain point identified in the Empathy Map and Problem Statement, confirming a strong problem-solution fit before implementation began.</w:t>
      </w:r>
    </w:p>
    <w:p>
      <w:pPr>
        <w:pStyle w:val="Heading3"/>
        <w:spacing w:after="90" w:before="180"/>
      </w:pPr>
      <w:r>
        <w:t xml:space="preserve">Problem–Solution Fit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110"/>
              <w:bottom w:type="dxa" w:w="70"/>
              <w:right w:type="dxa" w:w="110"/>
            </w:tcMar>
            <w:vAlign w:val="center"/>
          </w:tcPr>
          <w:p>
            <w:r>
              <w:rPr>
                <w:b/>
                <w:bCs/>
                <w:color w:val="FFFFFF"/>
                <w:sz w:val="20"/>
                <w:szCs w:val="20"/>
              </w:rPr>
              <w:t xml:space="preserve">Canvas Element</w:t>
            </w:r>
          </w:p>
        </w:tc>
        <w:tc>
          <w:tcPr>
            <w:tcW w:type="dxa" w:w="6800"/>
            <w:shd w:fill="1F3864" w:color="auto" w:val="clear"/>
            <w:tcMar>
              <w:top w:type="dxa" w:w="70"/>
              <w:left w:type="dxa" w:w="110"/>
              <w:bottom w:type="dxa" w:w="70"/>
              <w:right w:type="dxa" w:w="110"/>
            </w:tcMar>
            <w:vAlign w:val="center"/>
          </w:tcPr>
          <w:p>
            <w:r>
              <w:rPr>
                <w:b/>
                <w:bCs/>
                <w:color w:val="FFFFFF"/>
                <w:sz w:val="20"/>
                <w:szCs w:val="20"/>
              </w:rPr>
              <w:t xml:space="preserve">Detail</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Customer Segment</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ITIL Service Desk Agents (primary); Service Desk Managers and Compliance Auditors (secondary)</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Problem / Trigger</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SLA breach discovered only after it happens; no proactive signal, no enforced accountability record</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Existing Alternatives</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Manual queue-checking; static SLA reports run after the fact; ad-hoc email reminders with no enforcement</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Emotional / Behavioral Drivers</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Fear of unexplained breaches affecting performance reviews; desire for a fast, low-friction way to log context</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Channels of Behavior</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Agent Workspace, existing notification inbox, and chat-based tools already familiar to agents</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Solution</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Zero-code SLA governance framework: automated detection, Virtual Agent guidance, enforced justification, RBAC, and executive dashboard</w:t>
            </w:r>
          </w:p>
        </w:tc>
      </w:tr>
    </w:tbl>
    <w:p>
      <w:pPr>
        <w:pStyle w:val="Heading3"/>
        <w:spacing w:after="90" w:before="180"/>
      </w:pPr>
      <w:r>
        <w:t xml:space="preserve">Why This Fit Matters</w:t>
      </w:r>
    </w:p>
    <w:p>
      <w:pPr>
        <w:spacing w:after="150"/>
        <w:jc w:val="both"/>
      </w:pPr>
      <w:r>
        <w:rPr>
          <w:b w:val="false"/>
          <w:bCs w:val="false"/>
          <w:i w:val="false"/>
          <w:iCs w:val="false"/>
        </w:rPr>
        <w:t xml:space="preserve">Solving complex governance problems only succeeds if the solution fits how users already behave. By building on channels agents already use daily (Agent Workspace, notifications, chat), the solution increases adoption likelihood without requiring new habits. This also sharpens internal communication about SLA expectations by delivering timely, well-triggered prompts rather than generic reminders, and increases touch-points that build trust — turning a punitive-feeling compliance process into a supportive, guided 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Virtual Agent–Driven SLA Breach Awareness &amp; Justification System —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90" w:before="38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90" w:before="18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2026-07-11T02:37:11.248Z</dcterms:created>
  <dcterms:modified xsi:type="dcterms:W3CDTF">2026-07-11T02:37:11.248Z</dcterms:modified>
</cp:coreProperties>
</file>

<file path=docProps/custom.xml><?xml version="1.0" encoding="utf-8"?>
<Properties xmlns="http://schemas.openxmlformats.org/officeDocument/2006/custom-properties" xmlns:vt="http://schemas.openxmlformats.org/officeDocument/2006/docPropsVTypes"/>
</file>