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4B5"/>
          <w:sz w:val="22"/>
          <w:szCs w:val="22"/>
        </w:rPr>
        <w:t xml:space="preserve">Phase 3 — Project Design Phase</w:t>
      </w:r>
    </w:p>
    <w:p>
      <w:pPr>
        <w:spacing w:after="240"/>
      </w:pPr>
      <w:r>
        <w:rPr>
          <w:b/>
          <w:bCs/>
          <w:color w:val="1F3864"/>
          <w:sz w:val="40"/>
          <w:szCs w:val="40"/>
        </w:rPr>
        <w:t xml:space="preserve">Proposed 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70"/>
              <w:left w:type="dxa" w:w="110"/>
              <w:bottom w:type="dxa" w:w="70"/>
              <w:right w:type="dxa" w:w="110"/>
            </w:tcMar>
            <w:vAlign w:val="center"/>
          </w:tcPr>
          <w:p>
            <w:r>
              <w:rPr>
                <w:b/>
                <w:bCs/>
                <w:color w:val="FFFFFF"/>
                <w:sz w:val="20"/>
                <w:szCs w:val="20"/>
              </w:rPr>
              <w:t xml:space="preserve">Field</w:t>
            </w:r>
          </w:p>
        </w:tc>
        <w:tc>
          <w:tcPr>
            <w:tcW w:type="dxa" w:w="6800"/>
            <w:shd w:fill="1F3864" w:color="auto" w:val="clear"/>
            <w:tcMar>
              <w:top w:type="dxa" w:w="70"/>
              <w:left w:type="dxa" w:w="110"/>
              <w:bottom w:type="dxa" w:w="70"/>
              <w:right w:type="dxa" w:w="110"/>
            </w:tcMar>
            <w:vAlign w:val="center"/>
          </w:tcPr>
          <w:p>
            <w:r>
              <w:rPr>
                <w:b/>
                <w:bCs/>
                <w:color w:val="FFFFFF"/>
                <w:sz w:val="20"/>
                <w:szCs w:val="20"/>
              </w:rPr>
              <w:t xml:space="preserve">Value</w:t>
            </w:r>
          </w:p>
        </w:tc>
      </w:tr>
      <w:tr>
        <w:tc>
          <w:tcPr>
            <w:tcW w:type="dxa" w:w="2200"/>
            <w:shd w:fill="FFFFFF" w:color="auto" w:val="clear"/>
            <w:tcMar>
              <w:top w:type="dxa" w:w="70"/>
              <w:left w:type="dxa" w:w="110"/>
              <w:bottom w:type="dxa" w:w="70"/>
              <w:right w:type="dxa" w:w="110"/>
            </w:tcMar>
            <w:vAlign w:val="center"/>
          </w:tcPr>
          <w:p>
            <w:r>
              <w:rPr>
                <w:b w:val="false"/>
                <w:bCs w:val="false"/>
                <w:color w:val="000000"/>
                <w:sz w:val="20"/>
                <w:szCs w:val="20"/>
              </w:rPr>
              <w:t xml:space="preserve">Date</w:t>
            </w:r>
          </w:p>
        </w:tc>
        <w:tc>
          <w:tcPr>
            <w:tcW w:type="dxa" w:w="6800"/>
            <w:shd w:fill="FFFFFF" w:color="auto" w:val="clear"/>
            <w:tcMar>
              <w:top w:type="dxa" w:w="70"/>
              <w:left w:type="dxa" w:w="110"/>
              <w:bottom w:type="dxa" w:w="70"/>
              <w:right w:type="dxa" w:w="110"/>
            </w:tcMar>
            <w:vAlign w:val="center"/>
          </w:tcPr>
          <w:p>
            <w:r>
              <w:rPr>
                <w:b w:val="false"/>
                <w:bCs w:val="false"/>
                <w:color w:val="000000"/>
                <w:sz w:val="20"/>
                <w:szCs w:val="20"/>
              </w:rPr>
              <w:t xml:space="preserve">15 February 2026</w:t>
            </w:r>
          </w:p>
        </w:tc>
      </w:tr>
      <w:tr>
        <w:tc>
          <w:tcPr>
            <w:tcW w:type="dxa" w:w="2200"/>
            <w:shd w:fill="F2F2F2" w:color="auto" w:val="clear"/>
            <w:tcMar>
              <w:top w:type="dxa" w:w="70"/>
              <w:left w:type="dxa" w:w="110"/>
              <w:bottom w:type="dxa" w:w="70"/>
              <w:right w:type="dxa" w:w="110"/>
            </w:tcMar>
            <w:vAlign w:val="center"/>
          </w:tcPr>
          <w:p>
            <w:r>
              <w:rPr>
                <w:b w:val="false"/>
                <w:bCs w:val="false"/>
                <w:color w:val="000000"/>
                <w:sz w:val="20"/>
                <w:szCs w:val="20"/>
              </w:rPr>
              <w:t xml:space="preserve">Team ID</w:t>
            </w:r>
          </w:p>
        </w:tc>
        <w:tc>
          <w:tcPr>
            <w:tcW w:type="dxa" w:w="6800"/>
            <w:shd w:fill="F2F2F2" w:color="auto" w:val="clear"/>
            <w:tcMar>
              <w:top w:type="dxa" w:w="70"/>
              <w:left w:type="dxa" w:w="110"/>
              <w:bottom w:type="dxa" w:w="70"/>
              <w:right w:type="dxa" w:w="110"/>
            </w:tcMar>
            <w:vAlign w:val="center"/>
          </w:tcPr>
          <w:p>
            <w:r>
              <w:rPr>
                <w:b w:val="false"/>
                <w:bCs w:val="false"/>
                <w:color w:val="000000"/>
                <w:sz w:val="20"/>
                <w:szCs w:val="20"/>
              </w:rPr>
              <w:t xml:space="preserve">SWTID-2026-1543</w:t>
            </w:r>
          </w:p>
        </w:tc>
      </w:tr>
      <w:tr>
        <w:tc>
          <w:tcPr>
            <w:tcW w:type="dxa" w:w="2200"/>
            <w:shd w:fill="FFFFFF" w:color="auto" w:val="clear"/>
            <w:tcMar>
              <w:top w:type="dxa" w:w="70"/>
              <w:left w:type="dxa" w:w="110"/>
              <w:bottom w:type="dxa" w:w="70"/>
              <w:right w:type="dxa" w:w="110"/>
            </w:tcMar>
            <w:vAlign w:val="center"/>
          </w:tcPr>
          <w:p>
            <w:r>
              <w:rPr>
                <w:b w:val="false"/>
                <w:bCs w:val="false"/>
                <w:color w:val="000000"/>
                <w:sz w:val="20"/>
                <w:szCs w:val="20"/>
              </w:rPr>
              <w:t xml:space="preserve">Project Name</w:t>
            </w:r>
          </w:p>
        </w:tc>
        <w:tc>
          <w:tcPr>
            <w:tcW w:type="dxa" w:w="6800"/>
            <w:shd w:fill="FFFFFF" w:color="auto" w:val="clear"/>
            <w:tcMar>
              <w:top w:type="dxa" w:w="70"/>
              <w:left w:type="dxa" w:w="110"/>
              <w:bottom w:type="dxa" w:w="70"/>
              <w:right w:type="dxa" w:w="110"/>
            </w:tcMar>
            <w:vAlign w:val="center"/>
          </w:tcPr>
          <w:p>
            <w:r>
              <w:rPr>
                <w:b w:val="false"/>
                <w:bCs w:val="false"/>
                <w:color w:val="000000"/>
                <w:sz w:val="20"/>
                <w:szCs w:val="20"/>
              </w:rPr>
              <w:t xml:space="preserve">Virtual Agent–Driven SLA Breach Awareness &amp; Justification System</w:t>
            </w:r>
          </w:p>
        </w:tc>
      </w:tr>
      <w:tr>
        <w:tc>
          <w:tcPr>
            <w:tcW w:type="dxa" w:w="2200"/>
            <w:shd w:fill="F2F2F2" w:color="auto" w:val="clear"/>
            <w:tcMar>
              <w:top w:type="dxa" w:w="70"/>
              <w:left w:type="dxa" w:w="110"/>
              <w:bottom w:type="dxa" w:w="70"/>
              <w:right w:type="dxa" w:w="110"/>
            </w:tcMar>
            <w:vAlign w:val="center"/>
          </w:tcPr>
          <w:p>
            <w:r>
              <w:rPr>
                <w:b w:val="false"/>
                <w:bCs w:val="false"/>
                <w:color w:val="000000"/>
                <w:sz w:val="20"/>
                <w:szCs w:val="20"/>
              </w:rPr>
              <w:t xml:space="preserve">Maximum Marks</w:t>
            </w:r>
          </w:p>
        </w:tc>
        <w:tc>
          <w:tcPr>
            <w:tcW w:type="dxa" w:w="6800"/>
            <w:shd w:fill="F2F2F2" w:color="auto" w:val="clear"/>
            <w:tcMar>
              <w:top w:type="dxa" w:w="70"/>
              <w:left w:type="dxa" w:w="110"/>
              <w:bottom w:type="dxa" w:w="70"/>
              <w:right w:type="dxa" w:w="110"/>
            </w:tcMar>
            <w:vAlign w:val="center"/>
          </w:tcPr>
          <w:p>
            <w:r>
              <w:rPr>
                <w:b w:val="false"/>
                <w:bCs w:val="false"/>
                <w:color w:val="000000"/>
                <w:sz w:val="20"/>
                <w:szCs w:val="20"/>
              </w:rPr>
              <w:t xml:space="preserve">2 Marks</w:t>
            </w:r>
          </w:p>
        </w:tc>
      </w:tr>
    </w:tbl>
    <w:p>
      <w:pPr>
        <w:spacing w:after="150"/>
        <w:jc w:val="both"/>
      </w:pPr>
      <w:r>
        <w:rPr>
          <w:b w:val="false"/>
          <w:bCs w:val="false"/>
          <w:i w:val="false"/>
          <w:iCs w:val="false"/>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400"/>
      </w:tblGrid>
      <w:tr>
        <w:trPr>
          <w:tblHeader/>
        </w:trPr>
        <w:tc>
          <w:tcPr>
            <w:tcW w:type="dxa" w:w="700"/>
            <w:shd w:fill="1F3864" w:color="auto" w:val="clear"/>
            <w:tcMar>
              <w:top w:type="dxa" w:w="70"/>
              <w:left w:type="dxa" w:w="110"/>
              <w:bottom w:type="dxa" w:w="70"/>
              <w:right w:type="dxa" w:w="110"/>
            </w:tcMar>
            <w:vAlign w:val="center"/>
          </w:tcPr>
          <w:p>
            <w:r>
              <w:rPr>
                <w:b/>
                <w:bCs/>
                <w:color w:val="FFFFFF"/>
                <w:sz w:val="20"/>
                <w:szCs w:val="20"/>
              </w:rPr>
              <w:t xml:space="preserve">S.No</w:t>
            </w:r>
          </w:p>
        </w:tc>
        <w:tc>
          <w:tcPr>
            <w:tcW w:type="dxa" w:w="2900"/>
            <w:shd w:fill="1F3864" w:color="auto" w:val="clear"/>
            <w:tcMar>
              <w:top w:type="dxa" w:w="70"/>
              <w:left w:type="dxa" w:w="110"/>
              <w:bottom w:type="dxa" w:w="70"/>
              <w:right w:type="dxa" w:w="110"/>
            </w:tcMar>
            <w:vAlign w:val="center"/>
          </w:tcPr>
          <w:p>
            <w:r>
              <w:rPr>
                <w:b/>
                <w:bCs/>
                <w:color w:val="FFFFFF"/>
                <w:sz w:val="20"/>
                <w:szCs w:val="20"/>
              </w:rPr>
              <w:t xml:space="preserve">Parameter</w:t>
            </w:r>
          </w:p>
        </w:tc>
        <w:tc>
          <w:tcPr>
            <w:tcW w:type="dxa" w:w="5400"/>
            <w:shd w:fill="1F3864" w:color="auto" w:val="clear"/>
            <w:tcMar>
              <w:top w:type="dxa" w:w="70"/>
              <w:left w:type="dxa" w:w="110"/>
              <w:bottom w:type="dxa" w:w="70"/>
              <w:right w:type="dxa" w:w="110"/>
            </w:tcMar>
            <w:vAlign w:val="center"/>
          </w:tcPr>
          <w:p>
            <w:r>
              <w:rPr>
                <w:b/>
                <w:bCs/>
                <w:color w:val="FFFFFF"/>
                <w:sz w:val="20"/>
                <w:szCs w:val="20"/>
              </w:rPr>
              <w:t xml:space="preserve">Description</w:t>
            </w:r>
          </w:p>
        </w:tc>
      </w:tr>
      <w:tr>
        <w:tc>
          <w:tcPr>
            <w:tcW w:type="dxa" w:w="700"/>
            <w:shd w:fill="FFFFFF" w:color="auto" w:val="clear"/>
            <w:tcMar>
              <w:top w:type="dxa" w:w="70"/>
              <w:left w:type="dxa" w:w="110"/>
              <w:bottom w:type="dxa" w:w="70"/>
              <w:right w:type="dxa" w:w="110"/>
            </w:tcMar>
            <w:vAlign w:val="center"/>
          </w:tcPr>
          <w:p>
            <w:r>
              <w:rPr>
                <w:b w:val="false"/>
                <w:bCs w:val="false"/>
                <w:color w:val="000000"/>
                <w:sz w:val="20"/>
                <w:szCs w:val="20"/>
              </w:rPr>
              <w:t xml:space="preserve">1</w:t>
            </w:r>
          </w:p>
        </w:tc>
        <w:tc>
          <w:tcPr>
            <w:tcW w:type="dxa" w:w="2900"/>
            <w:shd w:fill="FFFFFF" w:color="auto" w:val="clear"/>
            <w:tcMar>
              <w:top w:type="dxa" w:w="70"/>
              <w:left w:type="dxa" w:w="110"/>
              <w:bottom w:type="dxa" w:w="70"/>
              <w:right w:type="dxa" w:w="110"/>
            </w:tcMar>
            <w:vAlign w:val="center"/>
          </w:tcPr>
          <w:p>
            <w:r>
              <w:rPr>
                <w:b w:val="false"/>
                <w:bCs w:val="false"/>
                <w:color w:val="000000"/>
                <w:sz w:val="20"/>
                <w:szCs w:val="20"/>
              </w:rPr>
              <w:t xml:space="preserve">Problem Statement (Problem to be solved)</w:t>
            </w:r>
          </w:p>
        </w:tc>
        <w:tc>
          <w:tcPr>
            <w:tcW w:type="dxa" w:w="5400"/>
            <w:shd w:fill="FFFFFF" w:color="auto" w:val="clear"/>
            <w:tcMar>
              <w:top w:type="dxa" w:w="70"/>
              <w:left w:type="dxa" w:w="110"/>
              <w:bottom w:type="dxa" w:w="70"/>
              <w:right w:type="dxa" w:w="110"/>
            </w:tcMar>
            <w:vAlign w:val="center"/>
          </w:tcPr>
          <w:p>
            <w:r>
              <w:rPr>
                <w:b w:val="false"/>
                <w:bCs w:val="false"/>
                <w:color w:val="000000"/>
                <w:sz w:val="20"/>
                <w:szCs w:val="20"/>
              </w:rPr>
              <w:t xml:space="preserve">ITIL agents lack proactive tracking and automated warnings when incident SLAs near an 80% breach threshold, resulting in unlogged delays, missing audit readiness, and unsecure historical justification entries</w:t>
            </w:r>
          </w:p>
        </w:tc>
      </w:tr>
      <w:tr>
        <w:tc>
          <w:tcPr>
            <w:tcW w:type="dxa" w:w="700"/>
            <w:shd w:fill="F2F2F2" w:color="auto" w:val="clear"/>
            <w:tcMar>
              <w:top w:type="dxa" w:w="70"/>
              <w:left w:type="dxa" w:w="110"/>
              <w:bottom w:type="dxa" w:w="70"/>
              <w:right w:type="dxa" w:w="110"/>
            </w:tcMar>
            <w:vAlign w:val="center"/>
          </w:tcPr>
          <w:p>
            <w:r>
              <w:rPr>
                <w:b w:val="false"/>
                <w:bCs w:val="false"/>
                <w:color w:val="000000"/>
                <w:sz w:val="20"/>
                <w:szCs w:val="20"/>
              </w:rPr>
              <w:t xml:space="preserve">2</w:t>
            </w:r>
          </w:p>
        </w:tc>
        <w:tc>
          <w:tcPr>
            <w:tcW w:type="dxa" w:w="2900"/>
            <w:shd w:fill="F2F2F2" w:color="auto" w:val="clear"/>
            <w:tcMar>
              <w:top w:type="dxa" w:w="70"/>
              <w:left w:type="dxa" w:w="110"/>
              <w:bottom w:type="dxa" w:w="70"/>
              <w:right w:type="dxa" w:w="110"/>
            </w:tcMar>
            <w:vAlign w:val="center"/>
          </w:tcPr>
          <w:p>
            <w:r>
              <w:rPr>
                <w:b w:val="false"/>
                <w:bCs w:val="false"/>
                <w:color w:val="000000"/>
                <w:sz w:val="20"/>
                <w:szCs w:val="20"/>
              </w:rPr>
              <w:t xml:space="preserve">Idea / Solution description</w:t>
            </w:r>
          </w:p>
        </w:tc>
        <w:tc>
          <w:tcPr>
            <w:tcW w:type="dxa" w:w="5400"/>
            <w:shd w:fill="F2F2F2" w:color="auto" w:val="clear"/>
            <w:tcMar>
              <w:top w:type="dxa" w:w="70"/>
              <w:left w:type="dxa" w:w="110"/>
              <w:bottom w:type="dxa" w:w="70"/>
              <w:right w:type="dxa" w:w="110"/>
            </w:tcMar>
            <w:vAlign w:val="center"/>
          </w:tcPr>
          <w:p>
            <w:r>
              <w:rPr>
                <w:b w:val="false"/>
                <w:bCs w:val="false"/>
                <w:color w:val="000000"/>
                <w:sz w:val="20"/>
                <w:szCs w:val="20"/>
              </w:rPr>
              <w:t xml:space="preserve">A zero-code SLA governance framework combining automated risk detection (Flow Designer), Virtual Agent guided acknowledgement, mandatory breach justification (UI Policy), role-based access control (ACL), and an executive dashboard</w:t>
            </w:r>
          </w:p>
        </w:tc>
      </w:tr>
      <w:tr>
        <w:tc>
          <w:tcPr>
            <w:tcW w:type="dxa" w:w="700"/>
            <w:shd w:fill="FFFFFF" w:color="auto" w:val="clear"/>
            <w:tcMar>
              <w:top w:type="dxa" w:w="70"/>
              <w:left w:type="dxa" w:w="110"/>
              <w:bottom w:type="dxa" w:w="70"/>
              <w:right w:type="dxa" w:w="110"/>
            </w:tcMar>
            <w:vAlign w:val="center"/>
          </w:tcPr>
          <w:p>
            <w:r>
              <w:rPr>
                <w:b w:val="false"/>
                <w:bCs w:val="false"/>
                <w:color w:val="000000"/>
                <w:sz w:val="20"/>
                <w:szCs w:val="20"/>
              </w:rPr>
              <w:t xml:space="preserve">3</w:t>
            </w:r>
          </w:p>
        </w:tc>
        <w:tc>
          <w:tcPr>
            <w:tcW w:type="dxa" w:w="2900"/>
            <w:shd w:fill="FFFFFF" w:color="auto" w:val="clear"/>
            <w:tcMar>
              <w:top w:type="dxa" w:w="70"/>
              <w:left w:type="dxa" w:w="110"/>
              <w:bottom w:type="dxa" w:w="70"/>
              <w:right w:type="dxa" w:w="110"/>
            </w:tcMar>
            <w:vAlign w:val="center"/>
          </w:tcPr>
          <w:p>
            <w:r>
              <w:rPr>
                <w:b w:val="false"/>
                <w:bCs w:val="false"/>
                <w:color w:val="000000"/>
                <w:sz w:val="20"/>
                <w:szCs w:val="20"/>
              </w:rPr>
              <w:t xml:space="preserve">Novelty / Uniqueness</w:t>
            </w:r>
          </w:p>
        </w:tc>
        <w:tc>
          <w:tcPr>
            <w:tcW w:type="dxa" w:w="5400"/>
            <w:shd w:fill="FFFFFF" w:color="auto" w:val="clear"/>
            <w:tcMar>
              <w:top w:type="dxa" w:w="70"/>
              <w:left w:type="dxa" w:w="110"/>
              <w:bottom w:type="dxa" w:w="70"/>
              <w:right w:type="dxa" w:w="110"/>
            </w:tcMar>
            <w:vAlign w:val="center"/>
          </w:tcPr>
          <w:p>
            <w:r>
              <w:rPr>
                <w:b w:val="false"/>
                <w:bCs w:val="false"/>
                <w:color w:val="000000"/>
                <w:sz w:val="20"/>
                <w:szCs w:val="20"/>
              </w:rPr>
              <w:t xml:space="preserve">Fully declarative (zero-code) implementation combining automation, conversational AI, and governance controls in a single closed loop — no custom scripting or third-party tools</w:t>
            </w:r>
          </w:p>
        </w:tc>
      </w:tr>
      <w:tr>
        <w:tc>
          <w:tcPr>
            <w:tcW w:type="dxa" w:w="700"/>
            <w:shd w:fill="F2F2F2" w:color="auto" w:val="clear"/>
            <w:tcMar>
              <w:top w:type="dxa" w:w="70"/>
              <w:left w:type="dxa" w:w="110"/>
              <w:bottom w:type="dxa" w:w="70"/>
              <w:right w:type="dxa" w:w="110"/>
            </w:tcMar>
            <w:vAlign w:val="center"/>
          </w:tcPr>
          <w:p>
            <w:r>
              <w:rPr>
                <w:b w:val="false"/>
                <w:bCs w:val="false"/>
                <w:color w:val="000000"/>
                <w:sz w:val="20"/>
                <w:szCs w:val="20"/>
              </w:rPr>
              <w:t xml:space="preserve">4</w:t>
            </w:r>
          </w:p>
        </w:tc>
        <w:tc>
          <w:tcPr>
            <w:tcW w:type="dxa" w:w="2900"/>
            <w:shd w:fill="F2F2F2" w:color="auto" w:val="clear"/>
            <w:tcMar>
              <w:top w:type="dxa" w:w="70"/>
              <w:left w:type="dxa" w:w="110"/>
              <w:bottom w:type="dxa" w:w="70"/>
              <w:right w:type="dxa" w:w="110"/>
            </w:tcMar>
            <w:vAlign w:val="center"/>
          </w:tcPr>
          <w:p>
            <w:r>
              <w:rPr>
                <w:b w:val="false"/>
                <w:bCs w:val="false"/>
                <w:color w:val="000000"/>
                <w:sz w:val="20"/>
                <w:szCs w:val="20"/>
              </w:rPr>
              <w:t xml:space="preserve">Social Impact / Customer Satisfaction</w:t>
            </w:r>
          </w:p>
        </w:tc>
        <w:tc>
          <w:tcPr>
            <w:tcW w:type="dxa" w:w="5400"/>
            <w:shd w:fill="F2F2F2" w:color="auto" w:val="clear"/>
            <w:tcMar>
              <w:top w:type="dxa" w:w="70"/>
              <w:left w:type="dxa" w:w="110"/>
              <w:bottom w:type="dxa" w:w="70"/>
              <w:right w:type="dxa" w:w="110"/>
            </w:tcMar>
            <w:vAlign w:val="center"/>
          </w:tcPr>
          <w:p>
            <w:r>
              <w:rPr>
                <w:b w:val="false"/>
                <w:bCs w:val="false"/>
                <w:color w:val="000000"/>
                <w:sz w:val="20"/>
                <w:szCs w:val="20"/>
              </w:rPr>
              <w:t xml:space="preserve">Reduces agent stress from surprise breaches, improves fairness/accountability in performance reviews, and gives managers and auditors confidence in SLA data integrity</w:t>
            </w:r>
          </w:p>
        </w:tc>
      </w:tr>
      <w:tr>
        <w:tc>
          <w:tcPr>
            <w:tcW w:type="dxa" w:w="700"/>
            <w:shd w:fill="FFFFFF" w:color="auto" w:val="clear"/>
            <w:tcMar>
              <w:top w:type="dxa" w:w="70"/>
              <w:left w:type="dxa" w:w="110"/>
              <w:bottom w:type="dxa" w:w="70"/>
              <w:right w:type="dxa" w:w="110"/>
            </w:tcMar>
            <w:vAlign w:val="center"/>
          </w:tcPr>
          <w:p>
            <w:r>
              <w:rPr>
                <w:b w:val="false"/>
                <w:bCs w:val="false"/>
                <w:color w:val="000000"/>
                <w:sz w:val="20"/>
                <w:szCs w:val="20"/>
              </w:rPr>
              <w:t xml:space="preserve">5</w:t>
            </w:r>
          </w:p>
        </w:tc>
        <w:tc>
          <w:tcPr>
            <w:tcW w:type="dxa" w:w="2900"/>
            <w:shd w:fill="FFFFFF" w:color="auto" w:val="clear"/>
            <w:tcMar>
              <w:top w:type="dxa" w:w="70"/>
              <w:left w:type="dxa" w:w="110"/>
              <w:bottom w:type="dxa" w:w="70"/>
              <w:right w:type="dxa" w:w="110"/>
            </w:tcMar>
            <w:vAlign w:val="center"/>
          </w:tcPr>
          <w:p>
            <w:r>
              <w:rPr>
                <w:b w:val="false"/>
                <w:bCs w:val="false"/>
                <w:color w:val="000000"/>
                <w:sz w:val="20"/>
                <w:szCs w:val="20"/>
              </w:rPr>
              <w:t xml:space="preserve">Business Model (Revenue Model)</w:t>
            </w:r>
          </w:p>
        </w:tc>
        <w:tc>
          <w:tcPr>
            <w:tcW w:type="dxa" w:w="5400"/>
            <w:shd w:fill="FFFFFF" w:color="auto" w:val="clear"/>
            <w:tcMar>
              <w:top w:type="dxa" w:w="70"/>
              <w:left w:type="dxa" w:w="110"/>
              <w:bottom w:type="dxa" w:w="70"/>
              <w:right w:type="dxa" w:w="110"/>
            </w:tcMar>
            <w:vAlign w:val="center"/>
          </w:tcPr>
          <w:p>
            <w:r>
              <w:rPr>
                <w:b w:val="false"/>
                <w:bCs w:val="false"/>
                <w:color w:val="000000"/>
                <w:sz w:val="20"/>
                <w:szCs w:val="20"/>
              </w:rPr>
              <w:t xml:space="preserve">Deployable as a reusable ServiceNow governance accelerator/template that can be packaged and applied across ITSM, HRSD, or CSM modules for other teams or clients</w:t>
            </w:r>
          </w:p>
        </w:tc>
      </w:tr>
      <w:tr>
        <w:tc>
          <w:tcPr>
            <w:tcW w:type="dxa" w:w="700"/>
            <w:shd w:fill="F2F2F2" w:color="auto" w:val="clear"/>
            <w:tcMar>
              <w:top w:type="dxa" w:w="70"/>
              <w:left w:type="dxa" w:w="110"/>
              <w:bottom w:type="dxa" w:w="70"/>
              <w:right w:type="dxa" w:w="110"/>
            </w:tcMar>
            <w:vAlign w:val="center"/>
          </w:tcPr>
          <w:p>
            <w:r>
              <w:rPr>
                <w:b w:val="false"/>
                <w:bCs w:val="false"/>
                <w:color w:val="000000"/>
                <w:sz w:val="20"/>
                <w:szCs w:val="20"/>
              </w:rPr>
              <w:t xml:space="preserve">6</w:t>
            </w:r>
          </w:p>
        </w:tc>
        <w:tc>
          <w:tcPr>
            <w:tcW w:type="dxa" w:w="2900"/>
            <w:shd w:fill="F2F2F2" w:color="auto" w:val="clear"/>
            <w:tcMar>
              <w:top w:type="dxa" w:w="70"/>
              <w:left w:type="dxa" w:w="110"/>
              <w:bottom w:type="dxa" w:w="70"/>
              <w:right w:type="dxa" w:w="110"/>
            </w:tcMar>
            <w:vAlign w:val="center"/>
          </w:tcPr>
          <w:p>
            <w:r>
              <w:rPr>
                <w:b w:val="false"/>
                <w:bCs w:val="false"/>
                <w:color w:val="000000"/>
                <w:sz w:val="20"/>
                <w:szCs w:val="20"/>
              </w:rPr>
              <w:t xml:space="preserve">Scalability of the Solution</w:t>
            </w:r>
          </w:p>
        </w:tc>
        <w:tc>
          <w:tcPr>
            <w:tcW w:type="dxa" w:w="5400"/>
            <w:shd w:fill="F2F2F2" w:color="auto" w:val="clear"/>
            <w:tcMar>
              <w:top w:type="dxa" w:w="70"/>
              <w:left w:type="dxa" w:w="110"/>
              <w:bottom w:type="dxa" w:w="70"/>
              <w:right w:type="dxa" w:w="110"/>
            </w:tcMar>
            <w:vAlign w:val="center"/>
          </w:tcPr>
          <w:p>
            <w:r>
              <w:rPr>
                <w:b w:val="false"/>
                <w:bCs w:val="false"/>
                <w:color w:val="000000"/>
                <w:sz w:val="20"/>
                <w:szCs w:val="20"/>
              </w:rPr>
              <w:t xml:space="preserve">Configurable thresholds and roles allow the framework to scale across tables, departments, and SLA definitions without additional engineering effort</w:t>
            </w:r>
          </w:p>
        </w:tc>
      </w:tr>
    </w:tbl>
    <w:p>
      <w:pPr>
        <w:pStyle w:val="Heading3"/>
        <w:spacing w:after="90" w:before="180"/>
      </w:pPr>
      <w:r>
        <w:t xml:space="preserve">Elaboration</w:t>
      </w:r>
    </w:p>
    <w:p>
      <w:pPr>
        <w:spacing w:after="150"/>
        <w:jc w:val="both"/>
      </w:pPr>
      <w:r>
        <w:rPr>
          <w:b w:val="false"/>
          <w:bCs w:val="false"/>
          <w:i w:val="false"/>
          <w:iCs w:val="false"/>
        </w:rPr>
        <w:t xml:space="preserve">Idea / Solution — Beyond the core detection-to-closure loop, the framework is designed as a reusable pattern: the SLA Risk Monitor flow is built as a parameterized subflow so it can be attached to any SLA-bound table (Incident, Change, Case) without rebuilding logic from scratch.</w:t>
      </w:r>
    </w:p>
    <w:p>
      <w:pPr>
        <w:spacing w:after="150"/>
        <w:jc w:val="both"/>
      </w:pPr>
      <w:r>
        <w:rPr>
          <w:b w:val="false"/>
          <w:bCs w:val="false"/>
          <w:i w:val="false"/>
          <w:iCs w:val="false"/>
        </w:rPr>
        <w:t xml:space="preserve">Novelty — Most SLA tooling on the market either monitors passively (dashboards only) or enforces rigidly (hard validation with no user guidance). This solution's novelty is in pairing enforcement (UI Policy, ACL) with guidance (Virtual Agent), so accountability is achieved through a supportive interaction rather than a blocking error message alone.</w:t>
      </w:r>
    </w:p>
    <w:p>
      <w:pPr>
        <w:spacing w:after="150"/>
        <w:jc w:val="both"/>
      </w:pPr>
      <w:r>
        <w:rPr>
          <w:b w:val="false"/>
          <w:bCs w:val="false"/>
          <w:i w:val="false"/>
          <w:iCs w:val="false"/>
        </w:rPr>
        <w:t xml:space="preserve">Social Impact — Reducing surprise breaches and standardizing justification directly improves fairness in how individual agent performance is measured, since breaches caused by factors outside the agent's control (e.g., vendor delays) are now consistently categorized and visible rather than lost in ad-hoc notes.</w:t>
      </w:r>
    </w:p>
    <w:p>
      <w:pPr>
        <w:spacing w:after="150"/>
        <w:jc w:val="both"/>
      </w:pPr>
      <w:r>
        <w:rPr>
          <w:b w:val="false"/>
          <w:bCs w:val="false"/>
          <w:i w:val="false"/>
          <w:iCs w:val="false"/>
        </w:rPr>
        <w:t xml:space="preserve">Business Model — As an internal accelerator, the value is measured in reduced audit preparation time and improved SLA compliance rate rather than direct revenue; the same declarative pattern could also be offered as a ServiceNow Store app or partner accelerator in the future.</w:t>
      </w:r>
    </w:p>
    <w:p>
      <w:pPr>
        <w:spacing w:after="150"/>
        <w:jc w:val="both"/>
      </w:pPr>
      <w:r>
        <w:rPr>
          <w:b w:val="false"/>
          <w:bCs w:val="false"/>
          <w:i w:val="false"/>
          <w:iCs w:val="false"/>
        </w:rPr>
        <w:t xml:space="preserve">Scalability — Because thresholds, roles, and even the monitored table are all configuration-driven rather than hard-coded, onboarding a new department or SLA type is a configuration exercise, not a redevelopment effort.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Virtual Agent–Driven SLA Breach Awareness &amp; Justification System — Phase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90" w:before="38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2E74B5"/>
      <w:sz w:val="26"/>
      <w:szCs w:val="26"/>
    </w:rPr>
  </w:style>
  <w:style w:type="paragraph" w:styleId="Heading3">
    <w:name w:val="Heading 3"/>
    <w:basedOn w:val="Normal"/>
    <w:next w:val="Normal"/>
    <w:qFormat/>
    <w:pPr>
      <w:spacing w:after="90" w:before="18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2026-07-11T02:37:11.252Z</dcterms:created>
  <dcterms:modified xsi:type="dcterms:W3CDTF">2026-07-11T02:37:11.252Z</dcterms:modified>
</cp:coreProperties>
</file>

<file path=docProps/custom.xml><?xml version="1.0" encoding="utf-8"?>
<Properties xmlns="http://schemas.openxmlformats.org/officeDocument/2006/custom-properties" xmlns:vt="http://schemas.openxmlformats.org/officeDocument/2006/docPropsVTypes"/>
</file>