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4B5"/>
          <w:sz w:val="22"/>
          <w:szCs w:val="22"/>
        </w:rPr>
        <w:t xml:space="preserve">Phase 3 — Project Design Phase</w:t>
      </w:r>
    </w:p>
    <w:p>
      <w:pPr>
        <w:spacing w:after="240"/>
      </w:pPr>
      <w:r>
        <w:rPr>
          <w:b/>
          <w:bCs/>
          <w:color w:val="1F3864"/>
          <w:sz w:val="40"/>
          <w:szCs w:val="40"/>
        </w:rPr>
        <w:t xml:space="preserve">Solution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February 2026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SWTID-2026-1543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Agent–Driven SLA Breach Awareness &amp; Justification System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43815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3.1 — Four-Layer Solution Architecture: Detection → Engagement → Governance → Visibility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The architecture is organized into four layers, all delivered natively within a single ServiceNow instance: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Detection Layer — Flow Designer monitors SLA percentage-elapsed in real time against configurable thresholds.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Engagement Layer — Notifications and the Virtual Agent inform and guide assignees through acknowledgement.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Governance Layer — UI Policies and ACLs enforce mandatory justification and restrict unauthorized changes.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Visibility Layer — Reports and an executive Performance Analytics dashboard provide trend and accountability tracking.</w:t>
      </w:r>
    </w:p>
    <w:p>
      <w:pPr>
        <w:pStyle w:val="Heading3"/>
        <w:spacing w:after="90" w:before="180"/>
      </w:pPr>
      <w:r>
        <w:t xml:space="preserve">Component Responsibilities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8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Detection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Risk Monitor (Flow Designer)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Continuously evaluates task_sla.percentage against the configured threshold and sets the risk flag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 Engine</w:t>
            </w:r>
          </w:p>
        </w:tc>
        <w:tc>
          <w:tcPr>
            <w:tcW w:type="dxa" w:w="4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Delivers the initial real-time alert to the assignee via ServiceNow notifications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 Topic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the guided conversation for acknowledgement and corrective-action selection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Governance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Policy</w:t>
            </w:r>
          </w:p>
        </w:tc>
        <w:tc>
          <w:tcPr>
            <w:tcW w:type="dxa" w:w="4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Makes the breach-justification field mandatory once the record is in breach status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Governance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Control Lists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Restrict write access to SLA-critical fields to the assignee role; read-only for manager/auditor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Visibility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Analytics Dashboard</w:t>
            </w:r>
          </w:p>
        </w:tc>
        <w:tc>
          <w:tcPr>
            <w:tcW w:type="dxa" w:w="4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Aggregates SLA trend, breach-rate, and accountability metrics for management review</w:t>
            </w:r>
          </w:p>
        </w:tc>
      </w:tr>
    </w:tbl>
    <w:p>
      <w:pPr>
        <w:pStyle w:val="Heading3"/>
        <w:spacing w:after="90" w:before="180"/>
      </w:pPr>
      <w:r>
        <w:t xml:space="preserve">Deployment &amp; Data Security View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The entire solution is packaged as a single ServiceNow Update Set, deployable to any instance without external infrastructure. All data — SLA definitions, task/incident records, risk flags, and justification text — remains within the native ServiceNow database, inheriting the platform's existing encryption-at-rest and role-based security model. No data leaves the instance and no external API calls are required, minimizing the solution's security and compliance surface area.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Virtual Agent–Driven SLA Breach Awareness &amp; Justification System — Phase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90" w:before="3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5a692a03e443b3b2339794f84238956aa24a51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2026-07-11T02:37:11.262Z</dcterms:created>
  <dcterms:modified xsi:type="dcterms:W3CDTF">2026-07-11T02:37:11.262Z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