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5 — Project Development Phase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Performance Testing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SWTID-2026-1543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Agent–Driven SLA Breach Awareness &amp; Justification System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 applicable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Performance testing focuses on the responsiveness of the Flow Designer monitoring engine and the notification/Virtual Agent layer under increasing incident load, since delayed alerting would defeat the purpose of proactive SLA governance.</w:t>
      </w:r>
    </w:p>
    <w:p>
      <w:pPr>
        <w:pStyle w:val="Heading3"/>
        <w:spacing w:after="90" w:before="180"/>
      </w:pPr>
      <w:r>
        <w:t xml:space="preserve">Testing Methodology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Baseline test: single record crossing threshold, measuring detection-to-notification latency under normal load.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Load test: batch-create a growing number of concurrent at-risk records (50 / 200 / 500) to observe how detection latency scales.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Soak test: sustain a steady stream of at-risk records over several hours to confirm no memory/queue backlog builds up in Flow Designer execution.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Dashboard responsiveness test: measure Performance Analytics dashboard load and refresh time as the underlying data volume grows.</w:t>
      </w:r>
    </w:p>
    <w:p>
      <w:pPr>
        <w:pStyle w:val="Heading3"/>
        <w:spacing w:after="90" w:before="180"/>
      </w:pPr>
      <w:r>
        <w:t xml:space="preserve">Tools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ServiceNow Flow Designer execution logs and Scheduled Job diagnostics for latency measurement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Background scripts (test/sub-production instance only) to batch-generate simulated SLA-bound records for load testing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Performance Analytics built-in dashboard load timers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16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Observed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risk detection latency (threshold to flag)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1 minute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delivery time (flag to assignee alert)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2 minutes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Virtual Agent response time (conversation turn)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load time (executive view)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Concurrent SLA timers processed without backlog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500+ records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[Insert]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[Pass/Fail]</w:t>
            </w:r>
          </w:p>
        </w:tc>
      </w:tr>
    </w:tbl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Insert actual measured values once load testing is executed against a sub-production ServiceNow instance (e.g., using scheduled batch record creation to simulate concurrent SLA timers).</w:t>
      </w:r>
    </w:p>
    <w:p>
      <w:pPr>
        <w:pStyle w:val="Heading3"/>
        <w:spacing w:after="90" w:before="180"/>
      </w:pPr>
      <w:r>
        <w:t xml:space="preserve">Performance Risk Notes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Flow Designer execution is event/schedule-driven; very high concurrent record volumes should be tested against the instance's node capacity before production rollout.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Virtual Agent response time can vary based on NLU model load; simple guided (button-based) topics are recommended over free-text NLU for the fastest, most predictable response time.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2026-07-11T02:37:11.295Z</dcterms:created>
  <dcterms:modified xsi:type="dcterms:W3CDTF">2026-07-11T02:37:11.295Z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