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15 February 2025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LTVIP2026TMIDS64619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advancing nutrition science through geminiai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rFonts w:ascii="Arial" w:cs="Arial" w:eastAsia="Arial" w:hAnsi="Arial"/>
          <w:b/>
          <w:color w:val="000000"/>
          <w:sz w:val="24"/>
          <w:szCs w:val="24"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Solution Architecture:</w:t>
      </w:r>
    </w:p>
    <w:p>
      <w:pPr>
        <w:pStyle w:val="style0"/>
        <w:shd w:val="clear" w:color="auto" w:fill="ffffff"/>
        <w:spacing w:after="375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style0"/>
        <w:numPr>
          <w:ilvl w:val="0"/>
          <w:numId w:val="1"/>
        </w:numPr>
        <w:shd w:val="clear" w:color="auto" w:fill="ffffff"/>
        <w:spacing w:before="280"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Describe the structure, characteristics, </w:t>
      </w:r>
      <w:r>
        <w:rPr>
          <w:rFonts w:ascii="Arial" w:cs="Arial" w:eastAsia="Arial" w:hAnsi="Arial"/>
          <w:color w:val="000000"/>
          <w:sz w:val="24"/>
          <w:szCs w:val="24"/>
        </w:rPr>
        <w:t>behavior</w:t>
      </w:r>
      <w:r>
        <w:rPr>
          <w:rFonts w:ascii="Arial" w:cs="Arial" w:eastAsia="Arial" w:hAnsi="Arial"/>
          <w:color w:val="000000"/>
          <w:sz w:val="24"/>
          <w:szCs w:val="24"/>
        </w:rPr>
        <w:t>, and other aspects of the software to project stakeholders.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style0"/>
        <w:rPr>
          <w:b/>
        </w:rPr>
      </w:pPr>
    </w:p>
    <w:p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5731510" cy="2564765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  <w:r>
        <w:rPr>
          <w:rFonts w:ascii="Helvetica Neue" w:cs="Helvetica Neue" w:eastAsia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111</Words>
  <Pages>1</Pages>
  <Characters>858</Characters>
  <Application>WPS Office</Application>
  <DocSecurity>0</DocSecurity>
  <Paragraphs>30</Paragraphs>
  <ScaleCrop>false</ScaleCrop>
  <LinksUpToDate>false</LinksUpToDate>
  <CharactersWithSpaces>953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2022-10-03T08:27:00Z</dcterms:created>
  <dc:creator>Amarender Katkam</dc:creator>
  <lastModifiedBy>M2010J19SI</lastModifiedBy>
  <dcterms:modified xsi:type="dcterms:W3CDTF">2026-02-18T06:05:05Z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d527bde73df645af98557e6b4bc2b15d</vt:lpwstr>
  </property>
</Properties>
</file>