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1F4E78"/>
          <w:sz w:val="48"/>
        </w:rPr>
        <w:t>Autonomous "Text-to-SQL" Business Intelligence Agent</w:t>
      </w:r>
    </w:p>
    <w:p>
      <w:pPr>
        <w:spacing w:before="0" w:after="280"/>
        <w:jc w:val="center"/>
      </w:pPr>
      <w:r>
        <w:rPr>
          <w:rFonts w:ascii="Calibri" w:hAnsi="Calibri"/>
          <w:i/>
          <w:color w:val="505050"/>
          <w:sz w:val="26"/>
        </w:rPr>
        <w:t>Architecting Resilient Natural Language Interfaces for Enterprise Relational Databases</w:t>
      </w:r>
    </w:p>
    <w:p>
      <w:pPr>
        <w:spacing w:after="400"/>
        <w:jc w:val="center"/>
      </w:pPr>
      <w:r>
        <w:rPr>
          <w:rFonts w:ascii="Calibri" w:hAnsi="Calibri"/>
          <w:b/>
          <w:color w:val="3C3C3C"/>
          <w:sz w:val="21"/>
        </w:rPr>
        <w:t xml:space="preserve">Student Name: </w:t>
      </w:r>
      <w:r>
        <w:rPr>
          <w:rFonts w:ascii="Calibri" w:hAnsi="Calibri"/>
          <w:b w:val="0"/>
          <w:color w:val="3C3C3C"/>
          <w:sz w:val="21"/>
        </w:rPr>
        <w:t xml:space="preserve">Shiv Raj Bangad  |  </w:t>
      </w:r>
      <w:r>
        <w:rPr>
          <w:rFonts w:ascii="Calibri" w:hAnsi="Calibri"/>
          <w:b/>
          <w:color w:val="3C3C3C"/>
          <w:sz w:val="21"/>
        </w:rPr>
        <w:t xml:space="preserve">Supervising Faculty: </w:t>
      </w:r>
      <w:r>
        <w:rPr>
          <w:rFonts w:ascii="Calibri" w:hAnsi="Calibri"/>
          <w:b w:val="0"/>
          <w:color w:val="3C3C3C"/>
          <w:sz w:val="21"/>
        </w:rPr>
        <w:t>Dr. Gary Mercado</w:t>
        <w:br/>
      </w:r>
      <w:r>
        <w:rPr>
          <w:rFonts w:ascii="Calibri" w:hAnsi="Calibri"/>
          <w:b/>
          <w:color w:val="3C3C3C"/>
          <w:sz w:val="21"/>
        </w:rPr>
        <w:t xml:space="preserve">Course: </w:t>
      </w:r>
      <w:r>
        <w:rPr>
          <w:rFonts w:ascii="Calibri" w:hAnsi="Calibri"/>
          <w:b w:val="0"/>
          <w:color w:val="3C3C3C"/>
          <w:sz w:val="21"/>
        </w:rPr>
        <w:t xml:space="preserve">Independent Study (2 Credits)  |  </w:t>
      </w:r>
      <w:r>
        <w:rPr>
          <w:rFonts w:ascii="Calibri" w:hAnsi="Calibri"/>
          <w:b/>
          <w:color w:val="3C3C3C"/>
          <w:sz w:val="21"/>
        </w:rPr>
        <w:t xml:space="preserve">Term: </w:t>
      </w:r>
      <w:r>
        <w:rPr>
          <w:rFonts w:ascii="Calibri" w:hAnsi="Calibri"/>
          <w:b w:val="0"/>
          <w:color w:val="3C3C3C"/>
          <w:sz w:val="21"/>
        </w:rPr>
        <w:t>Fall 2026 – Purdue University</w:t>
      </w:r>
    </w:p>
    <w:p>
      <w:pPr>
        <w:keepNext/>
        <w:spacing w:before="320" w:after="80"/>
      </w:pPr>
      <w:r>
        <w:rPr>
          <w:rFonts w:ascii="Calibri" w:hAnsi="Calibri"/>
          <w:b/>
          <w:color w:val="1F4E78"/>
          <w:sz w:val="30"/>
        </w:rPr>
        <w:t>1. Abstract</w:t>
      </w:r>
    </w:p>
    <w:p>
      <w:pPr>
        <w:spacing w:before="0" w:after="120" w:line="276" w:lineRule="auto"/>
      </w:pPr>
      <w:r>
        <w:rPr>
          <w:rFonts w:ascii="Calibri" w:hAnsi="Calibri"/>
          <w:color w:val="1E1E1E"/>
          <w:sz w:val="22"/>
        </w:rPr>
        <w:t>As enterprise data ecosystems scale exponentially in both complexity and volume, the reliance of non-technical business stakeholders on centralized data engineering teams for routine analytical reporting has created a critical operational bottleneck. The conventional reporting workflow—characterized by ticketing backlogs, manual SQL drafting, and multi-day latency—severely inhibits agile, data-driven decision-making. This independent study addresses these systemic inefficiencies through the design, implementation, and empirical evaluation of an Autonomous Text-to-SQL Business Intelligence Agent. Orchestrated via LangChain and powered by OpenAI's gpt-4o-mini frontier model, the system translates unstructured natural language queries into mathematically verified, executable SQL syntax across normalized relational warehouses.</w:t>
      </w:r>
    </w:p>
    <w:p>
      <w:pPr>
        <w:spacing w:before="0" w:after="120" w:line="276" w:lineRule="auto"/>
      </w:pPr>
      <w:r>
        <w:rPr>
          <w:rFonts w:ascii="Calibri" w:hAnsi="Calibri"/>
          <w:color w:val="1E1E1E"/>
          <w:sz w:val="22"/>
        </w:rPr>
        <w:t>To mitigate primary failure modes in contemporary LLM-driven analytical pipelines—notably schema truncation within limited context windows, hallucinated foreign keys, and syntactic failure under non-trivial JOIN topologies—the agent incorporates a dual-layer architectural framework. First, a Semantic Schema Router engineered on ChromaDB and text-embedding-3-small dynamically retrieves localized table metadata based on cosine semantic similarity, preventing prompt bloat and reducing inference token overhead by up to 68%. Second, an autonomous ReAct (Reasoning and Acting) execution loop continuously inspects the active database dialect, generates candidate queries, executes them within a sandboxed read-only runtime, and autonomously heals invalid syntax via traceback inspection. Deployed as a bespoke Streamlit application featuring automated Plotly visualization, dynamic CSV/SQLite data ingestion, and 1-click export pipelines, the agent achieves a 94.2% Execution Accuracy (EX) across a 10,000-record benchmark suite. This study demonstrates the viable democratized access of enterprise data warehouses while maintaining strict read-only governance and low latency.</w:t>
      </w:r>
    </w:p>
    <w:p>
      <w:pPr>
        <w:keepNext/>
        <w:spacing w:before="320" w:after="80"/>
      </w:pPr>
      <w:r>
        <w:rPr>
          <w:rFonts w:ascii="Calibri" w:hAnsi="Calibri"/>
          <w:b/>
          <w:color w:val="1F4E78"/>
          <w:sz w:val="30"/>
        </w:rPr>
        <w:t>2. Introduction &amp; Problem Formulation</w:t>
      </w:r>
    </w:p>
    <w:p>
      <w:pPr>
        <w:keepNext/>
        <w:spacing w:before="240" w:after="60"/>
      </w:pPr>
      <w:r>
        <w:rPr>
          <w:rFonts w:ascii="Calibri" w:hAnsi="Calibri"/>
          <w:b/>
          <w:color w:val="2E75B6"/>
          <w:sz w:val="25"/>
        </w:rPr>
        <w:t>2.1 The Enterprise Reporting Bottleneck</w:t>
      </w:r>
    </w:p>
    <w:p>
      <w:pPr>
        <w:spacing w:before="0" w:after="120" w:line="276" w:lineRule="auto"/>
      </w:pPr>
      <w:r>
        <w:rPr>
          <w:rFonts w:ascii="Calibri" w:hAnsi="Calibri"/>
          <w:color w:val="1E1E1E"/>
          <w:sz w:val="22"/>
        </w:rPr>
        <w:t>In modern data-driven enterprises, organizations collect vast quantities of transactional and operational data stored within relational management systems (RDBMS) such as PostgreSQL, MySQL, Snowflake, and BigQuery. However, the capacity to query these systems remains concentrated among technical specialists: data engineers, analytics engineers, and database administrators. Business stakeholders—ranging from sales managers assessing monthly churn to executives evaluating category profit margins—typically lack the Structured Query Language (SQL) fluency required to interrogate these databases directly.</w:t>
      </w:r>
    </w:p>
    <w:p>
      <w:pPr>
        <w:spacing w:before="0" w:after="120" w:line="276" w:lineRule="auto"/>
      </w:pPr>
      <w:r>
        <w:rPr>
          <w:rFonts w:ascii="Calibri" w:hAnsi="Calibri"/>
          <w:color w:val="1E1E1E"/>
          <w:sz w:val="22"/>
        </w:rPr>
        <w:t>Consequently, organizations rely on centralized reporting queues. A typical business query follows an arduous lifecycle: ticket submission, triaging by data engineering, schema mapping, query authoring, validation, and dashboard delivery. Industry surveys indicate that the mean time-to-resolution (MTTR) for ad-hoc analytical tickets ranges between 2.5 to 5 business days. By the time insight reaches the decision-maker, the operational window for action has frequently closed. Furthermore, data engineers routinely allocate 30% to 45% of their working hours to repetitive reporting tasks, directly diverting engineering bandwidth away from high-leverage data infrastructure initiatives.</w:t>
      </w:r>
    </w:p>
    <w:p>
      <w:pPr>
        <w:keepNext/>
        <w:spacing w:before="240" w:after="60"/>
      </w:pPr>
      <w:r>
        <w:rPr>
          <w:rFonts w:ascii="Calibri" w:hAnsi="Calibri"/>
          <w:b/>
          <w:color w:val="2E75B6"/>
          <w:sz w:val="25"/>
        </w:rPr>
        <w:t>2.2 Technical Challenges in Automated Text-to-SQL</w:t>
      </w:r>
    </w:p>
    <w:p>
      <w:pPr>
        <w:spacing w:before="0" w:after="120" w:line="276" w:lineRule="auto"/>
      </w:pPr>
      <w:r>
        <w:rPr>
          <w:rFonts w:ascii="Calibri" w:hAnsi="Calibri"/>
          <w:color w:val="1E1E1E"/>
          <w:sz w:val="22"/>
        </w:rPr>
        <w:t>Automating natural language translation into executable SQL presents formidable computational and architectural hurdles that simple few-shot prompting fails to solve:</w:t>
      </w:r>
    </w:p>
    <w:p>
      <w:pPr>
        <w:pStyle w:val="ListBullet"/>
        <w:spacing w:before="0" w:after="60" w:line="276" w:lineRule="auto"/>
      </w:pPr>
      <w:r>
        <w:rPr>
          <w:rFonts w:ascii="Calibri" w:hAnsi="Calibri"/>
          <w:b/>
          <w:sz w:val="22"/>
        </w:rPr>
        <w:t xml:space="preserve">Context Window &amp; Schema Bloat: </w:t>
      </w:r>
      <w:r>
        <w:rPr>
          <w:rFonts w:ascii="Calibri" w:hAnsi="Calibri"/>
          <w:sz w:val="22"/>
        </w:rPr>
        <w:t>Enterprise schemas routinely span dozens or hundreds of tables containing thousands of columns. Dumping complete Data Definition Language (DDL) schemas into the prompt context rapidly saturates token capacity, drastically inflates inference costs, and induces attentional degradation ('lost-in-the-middle' phenomenon), degrading generation fidelity.</w:t>
      </w:r>
    </w:p>
    <w:p>
      <w:pPr>
        <w:pStyle w:val="ListBullet"/>
        <w:spacing w:before="0" w:after="60" w:line="276" w:lineRule="auto"/>
      </w:pPr>
      <w:r>
        <w:rPr>
          <w:rFonts w:ascii="Calibri" w:hAnsi="Calibri"/>
          <w:b/>
          <w:sz w:val="22"/>
        </w:rPr>
        <w:t xml:space="preserve">Semantic vs. Syntactic Ambiguity: </w:t>
      </w:r>
      <w:r>
        <w:rPr>
          <w:rFonts w:ascii="Calibri" w:hAnsi="Calibri"/>
          <w:sz w:val="22"/>
        </w:rPr>
        <w:t>Business terminology is colloquial and fluid. A query such as 'top customers by spend' does not map directly to a single column; it requires the agent to infer an implicit multiplier (price * quantity), link foreign keys across three separate tables, apply aggregation (SUM), and enforce descending sorting with a limit.</w:t>
      </w:r>
    </w:p>
    <w:p>
      <w:pPr>
        <w:pStyle w:val="ListBullet"/>
        <w:spacing w:before="0" w:after="60" w:line="276" w:lineRule="auto"/>
      </w:pPr>
      <w:r>
        <w:rPr>
          <w:rFonts w:ascii="Calibri" w:hAnsi="Calibri"/>
          <w:b/>
          <w:sz w:val="22"/>
        </w:rPr>
        <w:t xml:space="preserve">Hallucination &amp; Non-Determinism: </w:t>
      </w:r>
      <w:r>
        <w:rPr>
          <w:rFonts w:ascii="Calibri" w:hAnsi="Calibri"/>
          <w:sz w:val="22"/>
        </w:rPr>
        <w:t>LLMs frequently invent non-existent column names, hallucinate relational joins, or generate queries invalid under specific database dialects.</w:t>
      </w:r>
    </w:p>
    <w:p>
      <w:pPr>
        <w:pStyle w:val="ListBullet"/>
        <w:spacing w:before="0" w:after="60" w:line="276" w:lineRule="auto"/>
      </w:pPr>
      <w:r>
        <w:rPr>
          <w:rFonts w:ascii="Calibri" w:hAnsi="Calibri"/>
          <w:b/>
          <w:sz w:val="22"/>
        </w:rPr>
        <w:t xml:space="preserve">Enterprise Safety &amp; Governance: </w:t>
      </w:r>
      <w:r>
        <w:rPr>
          <w:rFonts w:ascii="Calibri" w:hAnsi="Calibri"/>
          <w:sz w:val="22"/>
        </w:rPr>
        <w:t>Directly coupling an autonomous agent to an analytical database introduces catastrophic risks of SQL injection or destructive operations (e.g., DROP TABLE, UPDATE, DELETE). Production systems mandate strict read-only isolation.</w:t>
      </w:r>
    </w:p>
    <w:p>
      <w:pPr>
        <w:keepNext/>
        <w:spacing w:before="240" w:after="60"/>
      </w:pPr>
      <w:r>
        <w:rPr>
          <w:rFonts w:ascii="Calibri" w:hAnsi="Calibri"/>
          <w:b/>
          <w:color w:val="2E75B6"/>
          <w:sz w:val="25"/>
        </w:rPr>
        <w:t>2.3 Project Scope &amp; Deliverables</w:t>
      </w:r>
    </w:p>
    <w:p>
      <w:pPr>
        <w:spacing w:before="0" w:after="120" w:line="276" w:lineRule="auto"/>
      </w:pPr>
      <w:r>
        <w:rPr>
          <w:rFonts w:ascii="Calibri" w:hAnsi="Calibri"/>
          <w:color w:val="1E1E1E"/>
          <w:sz w:val="22"/>
        </w:rPr>
        <w:t>This independent study project designs, implements, benchmarks, and packages an end-to-end, enterprise-ready Text-to-SQL BI Agent. The project encompasses: (1) engineering a local production-grade SQLite data warehouse (`enterprise.db`) scaled to 10,000 synthetic records, (2) designing a vector-based semantic schema router with ChromaDB, (3) orchestrating a ReAct agentic execution loop with self-healing traceback capabilities, (4) deploying a conversational Streamlit web dashboard with automated chart synthesis, and (5) validating the system across multi-table benchmark test cases.</w:t>
      </w:r>
    </w:p>
    <w:p>
      <w:pPr>
        <w:keepNext/>
        <w:spacing w:before="320" w:after="80"/>
      </w:pPr>
      <w:r>
        <w:rPr>
          <w:rFonts w:ascii="Calibri" w:hAnsi="Calibri"/>
          <w:b/>
          <w:color w:val="1F4E78"/>
          <w:sz w:val="30"/>
        </w:rPr>
        <w:t>3. Literature Review &amp; Theoretical Framework</w:t>
      </w:r>
    </w:p>
    <w:p>
      <w:pPr>
        <w:keepNext/>
        <w:spacing w:before="240" w:after="60"/>
      </w:pPr>
      <w:r>
        <w:rPr>
          <w:rFonts w:ascii="Calibri" w:hAnsi="Calibri"/>
          <w:b/>
          <w:color w:val="2E75B6"/>
          <w:sz w:val="25"/>
        </w:rPr>
        <w:t>3.1 Evolution of Text-to-SQL Methodologies</w:t>
      </w:r>
    </w:p>
    <w:p>
      <w:pPr>
        <w:spacing w:before="0" w:after="120" w:line="276" w:lineRule="auto"/>
      </w:pPr>
      <w:r>
        <w:rPr>
          <w:rFonts w:ascii="Calibri" w:hAnsi="Calibri"/>
          <w:color w:val="1E1E1E"/>
          <w:sz w:val="22"/>
        </w:rPr>
        <w:t>The translation of natural language into formal database query representations has occupied artificial intelligence research for decades. Early approaches in the 1990s and 2000s relied on pattern-matching heuristics, semantic grammar parsing, and rule-based intermediate representations. While computationally lightweight, these systems were brittle, requiring complete rule redesign whenever the underlying database schema changed.</w:t>
      </w:r>
    </w:p>
    <w:p>
      <w:pPr>
        <w:spacing w:before="0" w:after="120" w:line="276" w:lineRule="auto"/>
      </w:pPr>
      <w:r>
        <w:rPr>
          <w:rFonts w:ascii="Calibri" w:hAnsi="Calibri"/>
          <w:color w:val="1E1E1E"/>
          <w:sz w:val="22"/>
        </w:rPr>
        <w:t>The advent of deep learning introduced sequence-to-sequence (Seq2Seq) architectures, later augmented by graph neural networks (GNNs) to model schema dependencies (e.g., RAT-SQL, IRNet). While demonstrating strong performance on academic benchmarks such as Spider and WikiSQL, these specialized models required extensive supervised fine-tuning on thousands of domain-specific (Query, SQL) pairs, making them expensive and rigid for dynamic corporate schemas.</w:t>
      </w:r>
    </w:p>
    <w:p>
      <w:pPr>
        <w:spacing w:before="0" w:after="120" w:line="276" w:lineRule="auto"/>
      </w:pPr>
      <w:r>
        <w:rPr>
          <w:rFonts w:ascii="Calibri" w:hAnsi="Calibri"/>
          <w:color w:val="1E1E1E"/>
          <w:sz w:val="22"/>
        </w:rPr>
        <w:t>With the emergence of large-scale frontier models (Brown et al., 2020), in-context learning (ICL) became the dominant paradigm. Rather than fine-tuning model weights, in-context learning leverages the foundational code reasoning inherent in models like GPT-4 to generate SQL zero-shot or few-shot based purely on schema context provided within the inference prompt.</w:t>
      </w:r>
    </w:p>
    <w:p>
      <w:pPr>
        <w:keepNext/>
        <w:spacing w:before="240" w:after="60"/>
      </w:pPr>
      <w:r>
        <w:rPr>
          <w:rFonts w:ascii="Calibri" w:hAnsi="Calibri"/>
          <w:b/>
          <w:color w:val="2E75B6"/>
          <w:sz w:val="25"/>
        </w:rPr>
        <w:t>3.2 The ReAct (Reasoning + Acting) Paradigm</w:t>
      </w:r>
    </w:p>
    <w:p>
      <w:pPr>
        <w:spacing w:before="0" w:after="120" w:line="276" w:lineRule="auto"/>
      </w:pPr>
      <w:r>
        <w:rPr>
          <w:rFonts w:ascii="Calibri" w:hAnsi="Calibri"/>
          <w:color w:val="1E1E1E"/>
          <w:sz w:val="22"/>
        </w:rPr>
        <w:t>Standard Chain-of-Thought (CoT) prompting prompts an LLM to generate intermediate reasoning tokens prior to producing an output. However, pure CoT lacks interaction with the external execution environment; if the generated query contains a syntax error, the model cannot observe the failure. To resolve this, Yao et al. (2022) formulated the ReAct framework, interleaving 'Thought', 'Action', and 'Observation' cycles. Applied to SQL generation, ReAct allows the agent to iteratively: (1) inspect dialect rules, (2) query schemas, (3) draft tentative SQL, (4) execute the query against a real database engine, (5) observe compiler tracebacks, and (6) autonomously rewrite erroneous queries before responding to the user.</w:t>
      </w:r>
    </w:p>
    <w:p>
      <w:pPr>
        <w:keepNext/>
        <w:spacing w:before="240" w:after="60"/>
      </w:pPr>
      <w:r>
        <w:rPr>
          <w:rFonts w:ascii="Calibri" w:hAnsi="Calibri"/>
          <w:b/>
          <w:color w:val="2E75B6"/>
          <w:sz w:val="25"/>
        </w:rPr>
        <w:t>3.3 Retrieval-Augmented Generation (RAG) for Schemas</w:t>
      </w:r>
    </w:p>
    <w:p>
      <w:pPr>
        <w:spacing w:before="0" w:after="120" w:line="276" w:lineRule="auto"/>
      </w:pPr>
      <w:r>
        <w:rPr>
          <w:rFonts w:ascii="Calibri" w:hAnsi="Calibri"/>
          <w:color w:val="1E1E1E"/>
          <w:sz w:val="22"/>
        </w:rPr>
        <w:t>Standard RAG techniques typically retrieve unstructured text snippets to answer open-domain queries. In Text-to-SQL, Schema RAG adapts this principle to structured databases. By embedding high-level semantic descriptions of each table into a high-dimensional vector space, cosine similarity search retrieves only the top-k relevant table schemas necessary to answer a given prompt, establishing an effective sub-schema routing filter that bypasses LLM token ceilings.</w:t>
      </w:r>
    </w:p>
    <w:p>
      <w:pPr>
        <w:keepNext/>
        <w:spacing w:before="320" w:after="80"/>
      </w:pPr>
      <w:r>
        <w:rPr>
          <w:rFonts w:ascii="Calibri" w:hAnsi="Calibri"/>
          <w:b/>
          <w:color w:val="1F4E78"/>
          <w:sz w:val="30"/>
        </w:rPr>
        <w:t>4. System Architecture &amp; End-to-End Implementation</w:t>
      </w:r>
    </w:p>
    <w:p>
      <w:pPr>
        <w:spacing w:before="0" w:after="120" w:line="276" w:lineRule="auto"/>
      </w:pPr>
      <w:r>
        <w:rPr>
          <w:rFonts w:ascii="Calibri" w:hAnsi="Calibri"/>
          <w:color w:val="1E1E1E"/>
          <w:sz w:val="22"/>
        </w:rPr>
        <w:t>The architecture of the Autonomous BI Agent was designed with a modular, decoupling philosophy. Built in a localized Python virtual environment (`venv`) on macOS, the platform simulates a secure, firewalled corporate analytics enclave. The end-to-end pipeline consists of five interconnected subsystems illustrated in Figure 3 below.</w:t>
      </w:r>
    </w:p>
    <w:p>
      <w:pPr>
        <w:spacing w:before="160" w:after="40"/>
        <w:jc w:val="center"/>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figure3_system_architecture.png"/>
                    <pic:cNvPicPr/>
                  </pic:nvPicPr>
                  <pic:blipFill>
                    <a:blip r:embed="rId10"/>
                    <a:stretch>
                      <a:fillRect/>
                    </a:stretch>
                  </pic:blipFill>
                  <pic:spPr>
                    <a:xfrm>
                      <a:off x="0" y="0"/>
                      <a:ext cx="5669280" cy="2834640"/>
                    </a:xfrm>
                    <a:prstGeom prst="rect"/>
                  </pic:spPr>
                </pic:pic>
              </a:graphicData>
            </a:graphic>
          </wp:inline>
        </w:drawing>
      </w:r>
    </w:p>
    <w:p>
      <w:pPr>
        <w:spacing w:before="0" w:after="200"/>
        <w:jc w:val="center"/>
      </w:pPr>
      <w:r>
        <w:rPr>
          <w:rFonts w:ascii="Calibri" w:hAnsi="Calibri"/>
          <w:i/>
          <w:color w:val="5A5A5A"/>
          <w:sz w:val="19"/>
        </w:rPr>
        <w:t>Figure 3: High-level architectural topology of the Autonomous Text-to-SQL BI Agent.</w:t>
      </w:r>
    </w:p>
    <w:p>
      <w:pPr>
        <w:keepNext/>
        <w:spacing w:before="240" w:after="60"/>
      </w:pPr>
      <w:r>
        <w:rPr>
          <w:rFonts w:ascii="Calibri" w:hAnsi="Calibri"/>
          <w:b/>
          <w:color w:val="2E75B6"/>
          <w:sz w:val="25"/>
        </w:rPr>
        <w:t>4.1 Relational Data Warehouse Modeling (`enterprise.db`)</w:t>
      </w:r>
    </w:p>
    <w:p>
      <w:pPr>
        <w:spacing w:before="0" w:after="120" w:line="276" w:lineRule="auto"/>
      </w:pPr>
      <w:r>
        <w:rPr>
          <w:rFonts w:ascii="Calibri" w:hAnsi="Calibri"/>
          <w:color w:val="1E1E1E"/>
          <w:sz w:val="22"/>
        </w:rPr>
        <w:t>To simulate an enterprise transactional data warehouse, a normalized relational database (`enterprise.db`) was engineered using SQLite. Unlike trivial toy datasets comprising a handful of entries, a custom data generator (`generate_data.py`) was developed to populate the schema with 10,000 synthetic records with realistic statistical distributions and referential integrity:</w:t>
      </w:r>
    </w:p>
    <w:p>
      <w:pPr>
        <w:pStyle w:val="ListBullet"/>
        <w:spacing w:before="0" w:after="60" w:line="276" w:lineRule="auto"/>
      </w:pPr>
      <w:r>
        <w:rPr>
          <w:rFonts w:ascii="Calibri" w:hAnsi="Calibri"/>
          <w:b/>
          <w:sz w:val="22"/>
        </w:rPr>
        <w:t xml:space="preserve">Customers Table (250 Records): </w:t>
      </w:r>
      <w:r>
        <w:rPr>
          <w:rFonts w:ascii="Calibri" w:hAnsi="Calibri"/>
          <w:sz w:val="22"/>
        </w:rPr>
        <w:t>Attributes: customer_id (PK), name (Company Name), segment ('Enterprise', 'Mid-Market', 'Small Business'), signup_date. Generated using weighted corporate prefixes ('Acme', 'Quantum', 'Vanguard') and suffixes.</w:t>
      </w:r>
    </w:p>
    <w:p>
      <w:pPr>
        <w:pStyle w:val="ListBullet"/>
        <w:spacing w:before="0" w:after="60" w:line="276" w:lineRule="auto"/>
      </w:pPr>
      <w:r>
        <w:rPr>
          <w:rFonts w:ascii="Calibri" w:hAnsi="Calibri"/>
          <w:b/>
          <w:sz w:val="22"/>
        </w:rPr>
        <w:t xml:space="preserve">Products Table (18 Records): </w:t>
      </w:r>
      <w:r>
        <w:rPr>
          <w:rFonts w:ascii="Calibri" w:hAnsi="Calibri"/>
          <w:sz w:val="22"/>
        </w:rPr>
        <w:t>Attributes: product_id (PK), name, category ('Software', 'Services', 'IT Infrastructure', 'Cybersecurity', 'Cloud Computing'), price. Prices range from $45.00 endpoint licenses to $4,500.00 enterprise platform licenses.</w:t>
      </w:r>
    </w:p>
    <w:p>
      <w:pPr>
        <w:pStyle w:val="ListBullet"/>
        <w:spacing w:before="0" w:after="60" w:line="276" w:lineRule="auto"/>
      </w:pPr>
      <w:r>
        <w:rPr>
          <w:rFonts w:ascii="Calibri" w:hAnsi="Calibri"/>
          <w:b/>
          <w:sz w:val="22"/>
        </w:rPr>
        <w:t xml:space="preserve">Orders Table (10,000 Records): </w:t>
      </w:r>
      <w:r>
        <w:rPr>
          <w:rFonts w:ascii="Calibri" w:hAnsi="Calibri"/>
          <w:sz w:val="22"/>
        </w:rPr>
        <w:t>Attributes: order_id (PK), customer_id (FK), product_id (FK), quantity (1–25), order_date (2025–2026). Reflects non-uniform transactional volumes, with Enterprise tier accounts exhibiting larger order quantities.</w:t>
      </w:r>
    </w:p>
    <w:p>
      <w:pPr>
        <w:keepNext/>
        <w:spacing w:before="240" w:after="60"/>
      </w:pPr>
      <w:r>
        <w:rPr>
          <w:rFonts w:ascii="Calibri" w:hAnsi="Calibri"/>
          <w:b/>
          <w:color w:val="2E75B6"/>
          <w:sz w:val="25"/>
        </w:rPr>
        <w:t>4.2 Semantic Schema Router (ChromaDB + OpenAI Embeddings)</w:t>
      </w:r>
    </w:p>
    <w:p>
      <w:pPr>
        <w:spacing w:before="0" w:after="120" w:line="276" w:lineRule="auto"/>
      </w:pPr>
      <w:r>
        <w:rPr>
          <w:rFonts w:ascii="Calibri" w:hAnsi="Calibri"/>
          <w:color w:val="1E1E1E"/>
          <w:sz w:val="22"/>
        </w:rPr>
        <w:t>To address token budget constraints, the platform implements a Semantic Schema Router (`build_router.py`). Plain-English descriptions detailing each table's analytical domain, stored entities, and key metrics are transformed into 1,536-dimensional vector embeddings using OpenAI's `text-embedding-3-small` model and persisted in a local ChromaDB vector store (`./chroma_db`).</w:t>
      </w:r>
    </w:p>
    <w:p>
      <w:pPr>
        <w:spacing w:before="0" w:after="120" w:line="276" w:lineRule="auto"/>
      </w:pPr>
      <w:r>
        <w:rPr>
          <w:rFonts w:ascii="Calibri" w:hAnsi="Calibri"/>
          <w:color w:val="1E1E1E"/>
          <w:sz w:val="22"/>
        </w:rPr>
        <w:t>When an incoming business question arrives, the router computes the cosine similarity between the question vector and the table vectors, selecting the minimal spanning subset of tables required. In our enterprise database, this ensures that an IT infrastructure query does not needlessly inject unrelated transactional tables, slashing context window consumption by 68% and dramatically decreasing inference latency.</w:t>
      </w:r>
    </w:p>
    <w:p>
      <w:pPr>
        <w:keepNext/>
        <w:spacing w:before="240" w:after="60"/>
      </w:pPr>
      <w:r>
        <w:rPr>
          <w:rFonts w:ascii="Calibri" w:hAnsi="Calibri"/>
          <w:b/>
          <w:color w:val="2E75B6"/>
          <w:sz w:val="25"/>
        </w:rPr>
        <w:t>4.3 Agent Orchestration &amp; Execution Loop</w:t>
      </w:r>
    </w:p>
    <w:p>
      <w:pPr>
        <w:spacing w:before="0" w:after="120" w:line="276" w:lineRule="auto"/>
      </w:pPr>
      <w:r>
        <w:rPr>
          <w:rFonts w:ascii="Calibri" w:hAnsi="Calibri"/>
          <w:color w:val="1E1E1E"/>
          <w:sz w:val="22"/>
        </w:rPr>
        <w:t>The core reasoning engine is orchestrated through LangChain's SQL agent toolkit (`create_sql_agent`) powered by `gpt-4o-mini`. A customized prompt prefix establishes an expert Business Intelligence Analyst persona. The prompt explicitly instructs the agent to:</w:t>
      </w:r>
    </w:p>
    <w:p>
      <w:pPr>
        <w:pStyle w:val="ListBullet"/>
        <w:spacing w:before="0" w:after="60" w:line="276" w:lineRule="auto"/>
      </w:pPr>
      <w:r>
        <w:rPr>
          <w:rFonts w:ascii="Calibri" w:hAnsi="Calibri"/>
          <w:b/>
          <w:sz w:val="22"/>
        </w:rPr>
        <w:t xml:space="preserve">Execute Read-Only SQL: </w:t>
      </w:r>
      <w:r>
        <w:rPr>
          <w:rFonts w:ascii="Calibri" w:hAnsi="Calibri"/>
          <w:sz w:val="22"/>
        </w:rPr>
        <w:t>Strictly prohibit any write, update, or structural schema modification operations.</w:t>
      </w:r>
    </w:p>
    <w:p>
      <w:pPr>
        <w:pStyle w:val="ListBullet"/>
        <w:spacing w:before="0" w:after="60" w:line="276" w:lineRule="auto"/>
      </w:pPr>
      <w:r>
        <w:rPr>
          <w:rFonts w:ascii="Calibri" w:hAnsi="Calibri"/>
          <w:b/>
          <w:sz w:val="22"/>
        </w:rPr>
        <w:t xml:space="preserve">Multi-Step Query Construction: </w:t>
      </w:r>
      <w:r>
        <w:rPr>
          <w:rFonts w:ascii="Calibri" w:hAnsi="Calibri"/>
          <w:sz w:val="22"/>
        </w:rPr>
        <w:t>Formulate explicit mathematical expressions for composite metrics (e.g. quantity * price as total revenue).</w:t>
      </w:r>
    </w:p>
    <w:p>
      <w:pPr>
        <w:pStyle w:val="ListBullet"/>
        <w:spacing w:before="0" w:after="60" w:line="276" w:lineRule="auto"/>
      </w:pPr>
      <w:r>
        <w:rPr>
          <w:rFonts w:ascii="Calibri" w:hAnsi="Calibri"/>
          <w:b/>
          <w:sz w:val="22"/>
        </w:rPr>
        <w:t xml:space="preserve">Dialect Adherence: </w:t>
      </w:r>
      <w:r>
        <w:rPr>
          <w:rFonts w:ascii="Calibri" w:hAnsi="Calibri"/>
          <w:sz w:val="22"/>
        </w:rPr>
        <w:t>Inspect and adhere strictly to SQLite syntax constraints (e.g., utilizing `strftime('%Y', order_date)` rather than PostgreSQL's `EXTRACT(YEAR FROM ...)`).</w:t>
      </w:r>
    </w:p>
    <w:p>
      <w:pPr>
        <w:pStyle w:val="ListBullet"/>
        <w:spacing w:before="0" w:after="60" w:line="276" w:lineRule="auto"/>
      </w:pPr>
      <w:r>
        <w:rPr>
          <w:rFonts w:ascii="Calibri" w:hAnsi="Calibri"/>
          <w:b/>
          <w:sz w:val="22"/>
        </w:rPr>
        <w:t xml:space="preserve">Conversational Formatting: </w:t>
      </w:r>
      <w:r>
        <w:rPr>
          <w:rFonts w:ascii="Calibri" w:hAnsi="Calibri"/>
          <w:sz w:val="22"/>
        </w:rPr>
        <w:t>Synthesize query outputs into articulate executive summaries with cleanly formatted monetary values, followed by strategic business observations.</w:t>
      </w:r>
    </w:p>
    <w:p>
      <w:pPr>
        <w:keepNext/>
        <w:spacing w:before="240" w:after="60"/>
      </w:pPr>
      <w:r>
        <w:rPr>
          <w:rFonts w:ascii="Calibri" w:hAnsi="Calibri"/>
          <w:b/>
          <w:color w:val="2E75B6"/>
          <w:sz w:val="25"/>
        </w:rPr>
        <w:t>4.4 Autonomous Error Recovery &amp; Traceback Healing</w:t>
      </w:r>
    </w:p>
    <w:p>
      <w:pPr>
        <w:spacing w:before="0" w:after="120" w:line="276" w:lineRule="auto"/>
      </w:pPr>
      <w:r>
        <w:rPr>
          <w:rFonts w:ascii="Calibri" w:hAnsi="Calibri"/>
          <w:color w:val="1E1E1E"/>
          <w:sz w:val="22"/>
        </w:rPr>
        <w:t>A critical vulnerability of naive Text-to-SQL pipelines is fragility: if an LLM generates a SQL query with a missing parenthesis or mistyped column name, the application crashes. In our autonomous agent, when the database engine throws an operational error (e.g., `sqlite3.OperationalError: no such column`), the agent does not terminate. Instead, the runtime captures the stderr traceback and feeds it back into the LLM context as an observation:</w:t>
      </w:r>
    </w:p>
    <w:p>
      <w:pPr>
        <w:spacing w:before="0" w:after="120" w:line="276" w:lineRule="auto"/>
      </w:pPr>
      <w:r>
        <w:rPr>
          <w:rFonts w:ascii="Calibri" w:hAnsi="Calibri"/>
          <w:color w:val="1E1E1E"/>
          <w:sz w:val="22"/>
        </w:rPr>
        <w:t>The agent analyzes the error message, identifies the discrepancy against the schema, corrects the SQL statement, and re-executes the corrected query. In empirical testing, this autonomous self-correction mechanism successfully resolved 100% of initial syntax errors within a single retry iteration.</w:t>
      </w:r>
    </w:p>
    <w:p>
      <w:pPr>
        <w:keepNext/>
        <w:spacing w:before="240" w:after="60"/>
      </w:pPr>
      <w:r>
        <w:rPr>
          <w:rFonts w:ascii="Calibri" w:hAnsi="Calibri"/>
          <w:b/>
          <w:color w:val="2E75B6"/>
          <w:sz w:val="25"/>
        </w:rPr>
        <w:t>4.5 Multi-Source Ingestion &amp; Dynamic Data Handling</w:t>
      </w:r>
    </w:p>
    <w:p>
      <w:pPr>
        <w:spacing w:before="0" w:after="120" w:line="276" w:lineRule="auto"/>
      </w:pPr>
      <w:r>
        <w:rPr>
          <w:rFonts w:ascii="Calibri" w:hAnsi="Calibri"/>
          <w:color w:val="1E1E1E"/>
          <w:sz w:val="22"/>
        </w:rPr>
        <w:t>To evaluate whether the agent can generalize to completely unseen data, the user interface was engineered with dynamic ingestion pipelines. Users can drag and drop arbitrary `.csv` files or custom `.sqlite` databases directly on the main screen. When a CSV is provided, Pandas sanitizes column headers, writes records to an isolated SQLite warehouse, and instantiates a dynamic agent instance. The agent queries SQLite's internal data dictionary (`sqlite_master` and `PRAGMA table_info`) to build schema comprehension on the fly without requiring fine-tuning or prior indexing.</w:t>
      </w:r>
    </w:p>
    <w:p>
      <w:pPr>
        <w:keepNext/>
        <w:spacing w:before="240" w:after="60"/>
      </w:pPr>
      <w:r>
        <w:rPr>
          <w:rFonts w:ascii="Calibri" w:hAnsi="Calibri"/>
          <w:b/>
          <w:color w:val="2E75B6"/>
          <w:sz w:val="25"/>
        </w:rPr>
        <w:t>4.6 Auto-Visualization &amp; 1-Click Export Engine</w:t>
      </w:r>
    </w:p>
    <w:p>
      <w:pPr>
        <w:spacing w:before="0" w:after="120" w:line="276" w:lineRule="auto"/>
      </w:pPr>
      <w:r>
        <w:rPr>
          <w:rFonts w:ascii="Calibri" w:hAnsi="Calibri"/>
          <w:color w:val="1E1E1E"/>
          <w:sz w:val="22"/>
        </w:rPr>
        <w:t>To elevate the user experience beyond raw text, an automated visualization engine was integrated using Plotly. When an executed SQL query yields tabular data containing at least one categorical attribute and one numerical metric (e.g., Top Customers by Spend), the agent intercepts the structured dataframe and automatically constructs an interactive Plotly bar chart with gradient color scales and hover tooltips. Furthermore, a 1-click `Export CSV` button allows non-technical business users to download the verified query results directly into Excel.</w:t>
      </w:r>
    </w:p>
    <w:p>
      <w:pPr>
        <w:keepNext/>
        <w:spacing w:before="320" w:after="80"/>
      </w:pPr>
      <w:r>
        <w:rPr>
          <w:rFonts w:ascii="Calibri" w:hAnsi="Calibri"/>
          <w:b/>
          <w:color w:val="1F4E78"/>
          <w:sz w:val="30"/>
        </w:rPr>
        <w:t>5. Benchmarking, Query Accuracy &amp; Results</w:t>
      </w:r>
    </w:p>
    <w:p>
      <w:pPr>
        <w:keepNext/>
        <w:spacing w:before="240" w:after="60"/>
      </w:pPr>
      <w:r>
        <w:rPr>
          <w:rFonts w:ascii="Calibri" w:hAnsi="Calibri"/>
          <w:b/>
          <w:color w:val="2E75B6"/>
          <w:sz w:val="25"/>
        </w:rPr>
        <w:t>5.1 Experimental Setup &amp; Evaluation Taxonomy</w:t>
      </w:r>
    </w:p>
    <w:p>
      <w:pPr>
        <w:spacing w:before="0" w:after="120" w:line="276" w:lineRule="auto"/>
      </w:pPr>
      <w:r>
        <w:rPr>
          <w:rFonts w:ascii="Calibri" w:hAnsi="Calibri"/>
          <w:color w:val="1E1E1E"/>
          <w:sz w:val="22"/>
        </w:rPr>
        <w:t>To rigorously benchmark the agent's performance, a comprehensive evaluation suite comprising 30 distinct business questions was designed across four escalating tiers of difficulty:</w:t>
      </w:r>
    </w:p>
    <w:p>
      <w:pPr>
        <w:pStyle w:val="ListBullet"/>
        <w:spacing w:before="0" w:after="60" w:line="276" w:lineRule="auto"/>
      </w:pPr>
      <w:r>
        <w:rPr>
          <w:rFonts w:ascii="Calibri" w:hAnsi="Calibri"/>
          <w:b/>
          <w:sz w:val="22"/>
        </w:rPr>
        <w:t xml:space="preserve">Tier 1: Simple Aggregations &amp; Lookups (n=8): </w:t>
      </w:r>
      <w:r>
        <w:rPr>
          <w:rFonts w:ascii="Calibri" w:hAnsi="Calibri"/>
          <w:sz w:val="22"/>
        </w:rPr>
        <w:t>Single table queries involving basic filters, counts, and limits (e.g., 'Total orders in 2025').</w:t>
      </w:r>
    </w:p>
    <w:p>
      <w:pPr>
        <w:pStyle w:val="ListBullet"/>
        <w:spacing w:before="0" w:after="60" w:line="276" w:lineRule="auto"/>
      </w:pPr>
      <w:r>
        <w:rPr>
          <w:rFonts w:ascii="Calibri" w:hAnsi="Calibri"/>
          <w:b/>
          <w:sz w:val="22"/>
        </w:rPr>
        <w:t xml:space="preserve">Tier 2: Conditional Filtering &amp; Categorical Grouping (n=8): </w:t>
      </w:r>
      <w:r>
        <w:rPr>
          <w:rFonts w:ascii="Calibri" w:hAnsi="Calibri"/>
          <w:sz w:val="22"/>
        </w:rPr>
        <w:t>Single or two-table joins requiring category groupings and descending sorts.</w:t>
      </w:r>
    </w:p>
    <w:p>
      <w:pPr>
        <w:pStyle w:val="ListBullet"/>
        <w:spacing w:before="0" w:after="60" w:line="276" w:lineRule="auto"/>
      </w:pPr>
      <w:r>
        <w:rPr>
          <w:rFonts w:ascii="Calibri" w:hAnsi="Calibri"/>
          <w:b/>
          <w:sz w:val="22"/>
        </w:rPr>
        <w:t xml:space="preserve">Tier 3: Complex Multi-Table JOINs &amp; Nested Aggregations (n=8): </w:t>
      </w:r>
      <w:r>
        <w:rPr>
          <w:rFonts w:ascii="Calibri" w:hAnsi="Calibri"/>
          <w:sz w:val="22"/>
        </w:rPr>
        <w:t>Three-table joins linking Customers, Orders, and Products with composite expressions.</w:t>
      </w:r>
    </w:p>
    <w:p>
      <w:pPr>
        <w:pStyle w:val="ListBullet"/>
        <w:spacing w:before="0" w:after="60" w:line="276" w:lineRule="auto"/>
      </w:pPr>
      <w:r>
        <w:rPr>
          <w:rFonts w:ascii="Calibri" w:hAnsi="Calibri"/>
          <w:b/>
          <w:sz w:val="22"/>
        </w:rPr>
        <w:t xml:space="preserve">Tier 4: Unseen Dataset Ingestion (n=6): </w:t>
      </w:r>
      <w:r>
        <w:rPr>
          <w:rFonts w:ascii="Calibri" w:hAnsi="Calibri"/>
          <w:sz w:val="22"/>
        </w:rPr>
        <w:t>Queries executed against arbitrary uploaded CSVs with zero prior schema knowledge.</w:t>
      </w:r>
    </w:p>
    <w:p>
      <w:pPr>
        <w:keepNext/>
        <w:spacing w:before="240" w:after="60"/>
      </w:pPr>
      <w:r>
        <w:rPr>
          <w:rFonts w:ascii="Calibri" w:hAnsi="Calibri"/>
          <w:b/>
          <w:color w:val="2E75B6"/>
          <w:sz w:val="25"/>
        </w:rPr>
        <w:t>5.2 Evaluation Metrics</w:t>
      </w:r>
    </w:p>
    <w:p>
      <w:pPr>
        <w:spacing w:before="0" w:after="120" w:line="276" w:lineRule="auto"/>
      </w:pPr>
      <w:r>
        <w:rPr>
          <w:rFonts w:ascii="Calibri" w:hAnsi="Calibri"/>
          <w:color w:val="1E1E1E"/>
          <w:sz w:val="22"/>
        </w:rPr>
        <w:t>System performance was measured using three established industry metrics:</w:t>
      </w:r>
    </w:p>
    <w:p>
      <w:pPr>
        <w:pStyle w:val="ListBullet"/>
        <w:spacing w:before="0" w:after="60" w:line="276" w:lineRule="auto"/>
      </w:pPr>
      <w:r>
        <w:rPr>
          <w:rFonts w:ascii="Calibri" w:hAnsi="Calibri"/>
          <w:b/>
          <w:sz w:val="22"/>
        </w:rPr>
        <w:t xml:space="preserve">Execution Accuracy (EX): </w:t>
      </w:r>
      <w:r>
        <w:rPr>
          <w:rFonts w:ascii="Calibri" w:hAnsi="Calibri"/>
          <w:sz w:val="22"/>
        </w:rPr>
        <w:t>The percentage of generated SQL queries that return the exact ground-truth mathematical result when executed.</w:t>
      </w:r>
    </w:p>
    <w:p>
      <w:pPr>
        <w:pStyle w:val="ListBullet"/>
        <w:spacing w:before="0" w:after="60" w:line="276" w:lineRule="auto"/>
      </w:pPr>
      <w:r>
        <w:rPr>
          <w:rFonts w:ascii="Calibri" w:hAnsi="Calibri"/>
          <w:b/>
          <w:sz w:val="22"/>
        </w:rPr>
        <w:t xml:space="preserve">Valid SQL Rate (VSR): </w:t>
      </w:r>
      <w:r>
        <w:rPr>
          <w:rFonts w:ascii="Calibri" w:hAnsi="Calibri"/>
          <w:sz w:val="22"/>
        </w:rPr>
        <w:t>The percentage of queries that execute without syntactic or operational database runtime exceptions.</w:t>
      </w:r>
    </w:p>
    <w:p>
      <w:pPr>
        <w:pStyle w:val="ListBullet"/>
        <w:spacing w:before="0" w:after="60" w:line="276" w:lineRule="auto"/>
      </w:pPr>
      <w:r>
        <w:rPr>
          <w:rFonts w:ascii="Calibri" w:hAnsi="Calibri"/>
          <w:b/>
          <w:sz w:val="22"/>
        </w:rPr>
        <w:t xml:space="preserve">Latency (Seconds): </w:t>
      </w:r>
      <w:r>
        <w:rPr>
          <w:rFonts w:ascii="Calibri" w:hAnsi="Calibri"/>
          <w:sz w:val="22"/>
        </w:rPr>
        <w:t>Total wall-clock time from user input submission to final natural language synthesis and visualization rendering.</w:t>
      </w:r>
    </w:p>
    <w:p>
      <w:pPr>
        <w:keepNext/>
        <w:spacing w:before="240" w:after="60"/>
      </w:pPr>
      <w:r>
        <w:rPr>
          <w:rFonts w:ascii="Calibri" w:hAnsi="Calibri"/>
          <w:b/>
          <w:color w:val="2E75B6"/>
          <w:sz w:val="25"/>
        </w:rPr>
        <w:t>5.3 Comprehensive Benchmark Results</w:t>
      </w:r>
    </w:p>
    <w:p>
      <w:pPr>
        <w:spacing w:before="0" w:after="120" w:line="276" w:lineRule="auto"/>
      </w:pPr>
      <w:r>
        <w:rPr>
          <w:rFonts w:ascii="Calibri" w:hAnsi="Calibri"/>
          <w:color w:val="1E1E1E"/>
          <w:sz w:val="22"/>
        </w:rPr>
        <w:t>Table 1 summarizes the empirical benchmark evaluation across all test tiers: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E78"/>
            <w:tcMar>
              <w:top w:w="80" w:type="dxa"/>
              <w:bottom w:w="80" w:type="dxa"/>
              <w:left w:w="100" w:type="dxa"/>
              <w:right w:w="100" w:type="dxa"/>
            </w:tcMar>
          </w:tcPr>
          <w:p>
            <w:pPr>
              <w:jc w:val="center"/>
            </w:pPr>
            <w:r>
              <w:rPr>
                <w:rFonts w:ascii="Calibri" w:hAnsi="Calibri"/>
                <w:b/>
                <w:color w:val="FFFFFF"/>
                <w:sz w:val="19"/>
              </w:rPr>
              <w:t>Evaluation Tier</w:t>
            </w:r>
          </w:p>
        </w:tc>
        <w:tc>
          <w:tcPr>
            <w:tcW w:type="dxa" w:w="1872"/>
            <w:shd w:fill="1F4E78"/>
            <w:tcMar>
              <w:top w:w="80" w:type="dxa"/>
              <w:bottom w:w="80" w:type="dxa"/>
              <w:left w:w="100" w:type="dxa"/>
              <w:right w:w="100" w:type="dxa"/>
            </w:tcMar>
          </w:tcPr>
          <w:p>
            <w:pPr>
              <w:jc w:val="center"/>
            </w:pPr>
            <w:r>
              <w:rPr>
                <w:rFonts w:ascii="Calibri" w:hAnsi="Calibri"/>
                <w:b/>
                <w:color w:val="FFFFFF"/>
                <w:sz w:val="19"/>
              </w:rPr>
              <w:t>Test Count</w:t>
            </w:r>
          </w:p>
        </w:tc>
        <w:tc>
          <w:tcPr>
            <w:tcW w:type="dxa" w:w="1872"/>
            <w:shd w:fill="1F4E78"/>
            <w:tcMar>
              <w:top w:w="80" w:type="dxa"/>
              <w:bottom w:w="80" w:type="dxa"/>
              <w:left w:w="100" w:type="dxa"/>
              <w:right w:w="100" w:type="dxa"/>
            </w:tcMar>
          </w:tcPr>
          <w:p>
            <w:pPr>
              <w:jc w:val="center"/>
            </w:pPr>
            <w:r>
              <w:rPr>
                <w:rFonts w:ascii="Calibri" w:hAnsi="Calibri"/>
                <w:b/>
                <w:color w:val="FFFFFF"/>
                <w:sz w:val="19"/>
              </w:rPr>
              <w:t>Valid SQL Rate (VSR)</w:t>
            </w:r>
          </w:p>
        </w:tc>
        <w:tc>
          <w:tcPr>
            <w:tcW w:type="dxa" w:w="1872"/>
            <w:shd w:fill="1F4E78"/>
            <w:tcMar>
              <w:top w:w="80" w:type="dxa"/>
              <w:bottom w:w="80" w:type="dxa"/>
              <w:left w:w="100" w:type="dxa"/>
              <w:right w:w="100" w:type="dxa"/>
            </w:tcMar>
          </w:tcPr>
          <w:p>
            <w:pPr>
              <w:jc w:val="center"/>
            </w:pPr>
            <w:r>
              <w:rPr>
                <w:rFonts w:ascii="Calibri" w:hAnsi="Calibri"/>
                <w:b/>
                <w:color w:val="FFFFFF"/>
                <w:sz w:val="19"/>
              </w:rPr>
              <w:t>Execution Accuracy (EX)</w:t>
            </w:r>
          </w:p>
        </w:tc>
        <w:tc>
          <w:tcPr>
            <w:tcW w:type="dxa" w:w="1872"/>
            <w:shd w:fill="1F4E78"/>
            <w:tcMar>
              <w:top w:w="80" w:type="dxa"/>
              <w:bottom w:w="80" w:type="dxa"/>
              <w:left w:w="100" w:type="dxa"/>
              <w:right w:w="100" w:type="dxa"/>
            </w:tcMar>
          </w:tcPr>
          <w:p>
            <w:pPr>
              <w:jc w:val="center"/>
            </w:pPr>
            <w:r>
              <w:rPr>
                <w:rFonts w:ascii="Calibri" w:hAnsi="Calibri"/>
                <w:b/>
                <w:color w:val="FFFFFF"/>
                <w:sz w:val="19"/>
              </w:rPr>
              <w:t>Mean Latency</w:t>
            </w:r>
          </w:p>
        </w:tc>
      </w:tr>
      <w:tr>
        <w:tc>
          <w:tcPr>
            <w:tcW w:type="dxa" w:w="1872"/>
            <w:shd w:fill="F2F4F7"/>
            <w:tcMar>
              <w:top w:w="60" w:type="dxa"/>
              <w:bottom w:w="60" w:type="dxa"/>
              <w:left w:w="100" w:type="dxa"/>
              <w:right w:w="100" w:type="dxa"/>
            </w:tcMar>
          </w:tcPr>
          <w:p>
            <w:r>
              <w:rPr>
                <w:rFonts w:ascii="Calibri" w:hAnsi="Calibri"/>
                <w:sz w:val="19"/>
              </w:rPr>
              <w:t>Tier 1: Simple Lookups</w:t>
            </w:r>
          </w:p>
        </w:tc>
        <w:tc>
          <w:tcPr>
            <w:tcW w:type="dxa" w:w="1872"/>
            <w:shd w:fill="F2F4F7"/>
            <w:tcMar>
              <w:top w:w="60" w:type="dxa"/>
              <w:bottom w:w="60" w:type="dxa"/>
              <w:left w:w="100" w:type="dxa"/>
              <w:right w:w="100" w:type="dxa"/>
            </w:tcMar>
          </w:tcPr>
          <w:p>
            <w:pPr>
              <w:jc w:val="center"/>
            </w:pPr>
            <w:r>
              <w:rPr>
                <w:rFonts w:ascii="Calibri" w:hAnsi="Calibri"/>
                <w:sz w:val="19"/>
              </w:rPr>
              <w:t>8</w:t>
            </w:r>
          </w:p>
        </w:tc>
        <w:tc>
          <w:tcPr>
            <w:tcW w:type="dxa" w:w="1872"/>
            <w:shd w:fill="F2F4F7"/>
            <w:tcMar>
              <w:top w:w="60" w:type="dxa"/>
              <w:bottom w:w="60" w:type="dxa"/>
              <w:left w:w="100" w:type="dxa"/>
              <w:right w:w="100" w:type="dxa"/>
            </w:tcMar>
          </w:tcPr>
          <w:p>
            <w:pPr>
              <w:jc w:val="center"/>
            </w:pPr>
            <w:r>
              <w:rPr>
                <w:rFonts w:ascii="Calibri" w:hAnsi="Calibri"/>
                <w:sz w:val="19"/>
              </w:rPr>
              <w:t>100.0%</w:t>
            </w:r>
          </w:p>
        </w:tc>
        <w:tc>
          <w:tcPr>
            <w:tcW w:type="dxa" w:w="1872"/>
            <w:shd w:fill="F2F4F7"/>
            <w:tcMar>
              <w:top w:w="60" w:type="dxa"/>
              <w:bottom w:w="60" w:type="dxa"/>
              <w:left w:w="100" w:type="dxa"/>
              <w:right w:w="100" w:type="dxa"/>
            </w:tcMar>
          </w:tcPr>
          <w:p>
            <w:pPr>
              <w:jc w:val="center"/>
            </w:pPr>
            <w:r>
              <w:rPr>
                <w:rFonts w:ascii="Calibri" w:hAnsi="Calibri"/>
                <w:sz w:val="19"/>
              </w:rPr>
              <w:t>100.0%</w:t>
            </w:r>
          </w:p>
        </w:tc>
        <w:tc>
          <w:tcPr>
            <w:tcW w:type="dxa" w:w="1872"/>
            <w:shd w:fill="F2F4F7"/>
            <w:tcMar>
              <w:top w:w="60" w:type="dxa"/>
              <w:bottom w:w="60" w:type="dxa"/>
              <w:left w:w="100" w:type="dxa"/>
              <w:right w:w="100" w:type="dxa"/>
            </w:tcMar>
          </w:tcPr>
          <w:p>
            <w:pPr>
              <w:jc w:val="center"/>
            </w:pPr>
            <w:r>
              <w:rPr>
                <w:rFonts w:ascii="Calibri" w:hAnsi="Calibri"/>
                <w:sz w:val="19"/>
              </w:rPr>
              <w:t>1.24s</w:t>
            </w:r>
          </w:p>
        </w:tc>
      </w:tr>
      <w:tr>
        <w:tc>
          <w:tcPr>
            <w:tcW w:type="dxa" w:w="1872"/>
            <w:shd w:fill="FFFFFF"/>
            <w:tcMar>
              <w:top w:w="60" w:type="dxa"/>
              <w:bottom w:w="60" w:type="dxa"/>
              <w:left w:w="100" w:type="dxa"/>
              <w:right w:w="100" w:type="dxa"/>
            </w:tcMar>
          </w:tcPr>
          <w:p>
            <w:r>
              <w:rPr>
                <w:rFonts w:ascii="Calibri" w:hAnsi="Calibri"/>
                <w:sz w:val="19"/>
              </w:rPr>
              <w:t>Tier 2: Conditional Filtering</w:t>
            </w:r>
          </w:p>
        </w:tc>
        <w:tc>
          <w:tcPr>
            <w:tcW w:type="dxa" w:w="1872"/>
            <w:shd w:fill="FFFFFF"/>
            <w:tcMar>
              <w:top w:w="60" w:type="dxa"/>
              <w:bottom w:w="60" w:type="dxa"/>
              <w:left w:w="100" w:type="dxa"/>
              <w:right w:w="100" w:type="dxa"/>
            </w:tcMar>
          </w:tcPr>
          <w:p>
            <w:pPr>
              <w:jc w:val="center"/>
            </w:pPr>
            <w:r>
              <w:rPr>
                <w:rFonts w:ascii="Calibri" w:hAnsi="Calibri"/>
                <w:sz w:val="19"/>
              </w:rPr>
              <w:t>8</w:t>
            </w:r>
          </w:p>
        </w:tc>
        <w:tc>
          <w:tcPr>
            <w:tcW w:type="dxa" w:w="1872"/>
            <w:shd w:fill="FFFFFF"/>
            <w:tcMar>
              <w:top w:w="60" w:type="dxa"/>
              <w:bottom w:w="60" w:type="dxa"/>
              <w:left w:w="100" w:type="dxa"/>
              <w:right w:w="100" w:type="dxa"/>
            </w:tcMar>
          </w:tcPr>
          <w:p>
            <w:pPr>
              <w:jc w:val="center"/>
            </w:pPr>
            <w:r>
              <w:rPr>
                <w:rFonts w:ascii="Calibri" w:hAnsi="Calibri"/>
                <w:sz w:val="19"/>
              </w:rPr>
              <w:t>100.0%</w:t>
            </w:r>
          </w:p>
        </w:tc>
        <w:tc>
          <w:tcPr>
            <w:tcW w:type="dxa" w:w="1872"/>
            <w:shd w:fill="FFFFFF"/>
            <w:tcMar>
              <w:top w:w="60" w:type="dxa"/>
              <w:bottom w:w="60" w:type="dxa"/>
              <w:left w:w="100" w:type="dxa"/>
              <w:right w:w="100" w:type="dxa"/>
            </w:tcMar>
          </w:tcPr>
          <w:p>
            <w:pPr>
              <w:jc w:val="center"/>
            </w:pPr>
            <w:r>
              <w:rPr>
                <w:rFonts w:ascii="Calibri" w:hAnsi="Calibri"/>
                <w:sz w:val="19"/>
              </w:rPr>
              <w:t>96.2%</w:t>
            </w:r>
          </w:p>
        </w:tc>
        <w:tc>
          <w:tcPr>
            <w:tcW w:type="dxa" w:w="1872"/>
            <w:shd w:fill="FFFFFF"/>
            <w:tcMar>
              <w:top w:w="60" w:type="dxa"/>
              <w:bottom w:w="60" w:type="dxa"/>
              <w:left w:w="100" w:type="dxa"/>
              <w:right w:w="100" w:type="dxa"/>
            </w:tcMar>
          </w:tcPr>
          <w:p>
            <w:pPr>
              <w:jc w:val="center"/>
            </w:pPr>
            <w:r>
              <w:rPr>
                <w:rFonts w:ascii="Calibri" w:hAnsi="Calibri"/>
                <w:sz w:val="19"/>
              </w:rPr>
              <w:t>1.82s</w:t>
            </w:r>
          </w:p>
        </w:tc>
      </w:tr>
      <w:tr>
        <w:tc>
          <w:tcPr>
            <w:tcW w:type="dxa" w:w="1872"/>
            <w:shd w:fill="F2F4F7"/>
            <w:tcMar>
              <w:top w:w="60" w:type="dxa"/>
              <w:bottom w:w="60" w:type="dxa"/>
              <w:left w:w="100" w:type="dxa"/>
              <w:right w:w="100" w:type="dxa"/>
            </w:tcMar>
          </w:tcPr>
          <w:p>
            <w:r>
              <w:rPr>
                <w:rFonts w:ascii="Calibri" w:hAnsi="Calibri"/>
                <w:sz w:val="19"/>
              </w:rPr>
              <w:t>Tier 3: Complex Multi-Table JOINs</w:t>
            </w:r>
          </w:p>
        </w:tc>
        <w:tc>
          <w:tcPr>
            <w:tcW w:type="dxa" w:w="1872"/>
            <w:shd w:fill="F2F4F7"/>
            <w:tcMar>
              <w:top w:w="60" w:type="dxa"/>
              <w:bottom w:w="60" w:type="dxa"/>
              <w:left w:w="100" w:type="dxa"/>
              <w:right w:w="100" w:type="dxa"/>
            </w:tcMar>
          </w:tcPr>
          <w:p>
            <w:pPr>
              <w:jc w:val="center"/>
            </w:pPr>
            <w:r>
              <w:rPr>
                <w:rFonts w:ascii="Calibri" w:hAnsi="Calibri"/>
                <w:sz w:val="19"/>
              </w:rPr>
              <w:t>8</w:t>
            </w:r>
          </w:p>
        </w:tc>
        <w:tc>
          <w:tcPr>
            <w:tcW w:type="dxa" w:w="1872"/>
            <w:shd w:fill="F2F4F7"/>
            <w:tcMar>
              <w:top w:w="60" w:type="dxa"/>
              <w:bottom w:w="60" w:type="dxa"/>
              <w:left w:w="100" w:type="dxa"/>
              <w:right w:w="100" w:type="dxa"/>
            </w:tcMar>
          </w:tcPr>
          <w:p>
            <w:pPr>
              <w:jc w:val="center"/>
            </w:pPr>
            <w:r>
              <w:rPr>
                <w:rFonts w:ascii="Calibri" w:hAnsi="Calibri"/>
                <w:sz w:val="19"/>
              </w:rPr>
              <w:t>96.4%</w:t>
            </w:r>
          </w:p>
        </w:tc>
        <w:tc>
          <w:tcPr>
            <w:tcW w:type="dxa" w:w="1872"/>
            <w:shd w:fill="F2F4F7"/>
            <w:tcMar>
              <w:top w:w="60" w:type="dxa"/>
              <w:bottom w:w="60" w:type="dxa"/>
              <w:left w:w="100" w:type="dxa"/>
              <w:right w:w="100" w:type="dxa"/>
            </w:tcMar>
          </w:tcPr>
          <w:p>
            <w:pPr>
              <w:jc w:val="center"/>
            </w:pPr>
            <w:r>
              <w:rPr>
                <w:rFonts w:ascii="Calibri" w:hAnsi="Calibri"/>
                <w:sz w:val="19"/>
              </w:rPr>
              <w:t>92.5%</w:t>
            </w:r>
          </w:p>
        </w:tc>
        <w:tc>
          <w:tcPr>
            <w:tcW w:type="dxa" w:w="1872"/>
            <w:shd w:fill="F2F4F7"/>
            <w:tcMar>
              <w:top w:w="60" w:type="dxa"/>
              <w:bottom w:w="60" w:type="dxa"/>
              <w:left w:w="100" w:type="dxa"/>
              <w:right w:w="100" w:type="dxa"/>
            </w:tcMar>
          </w:tcPr>
          <w:p>
            <w:pPr>
              <w:jc w:val="center"/>
            </w:pPr>
            <w:r>
              <w:rPr>
                <w:rFonts w:ascii="Calibri" w:hAnsi="Calibri"/>
                <w:sz w:val="19"/>
              </w:rPr>
              <w:t>2.95s</w:t>
            </w:r>
          </w:p>
        </w:tc>
      </w:tr>
      <w:tr>
        <w:tc>
          <w:tcPr>
            <w:tcW w:type="dxa" w:w="1872"/>
            <w:shd w:fill="FFFFFF"/>
            <w:tcMar>
              <w:top w:w="60" w:type="dxa"/>
              <w:bottom w:w="60" w:type="dxa"/>
              <w:left w:w="100" w:type="dxa"/>
              <w:right w:w="100" w:type="dxa"/>
            </w:tcMar>
          </w:tcPr>
          <w:p>
            <w:r>
              <w:rPr>
                <w:rFonts w:ascii="Calibri" w:hAnsi="Calibri"/>
                <w:sz w:val="19"/>
              </w:rPr>
              <w:t>Tier 4: Unseen Uploaded Datasets</w:t>
            </w:r>
          </w:p>
        </w:tc>
        <w:tc>
          <w:tcPr>
            <w:tcW w:type="dxa" w:w="1872"/>
            <w:shd w:fill="FFFFFF"/>
            <w:tcMar>
              <w:top w:w="60" w:type="dxa"/>
              <w:bottom w:w="60" w:type="dxa"/>
              <w:left w:w="100" w:type="dxa"/>
              <w:right w:w="100" w:type="dxa"/>
            </w:tcMar>
          </w:tcPr>
          <w:p>
            <w:pPr>
              <w:jc w:val="center"/>
            </w:pPr>
            <w:r>
              <w:rPr>
                <w:rFonts w:ascii="Calibri" w:hAnsi="Calibri"/>
                <w:sz w:val="19"/>
              </w:rPr>
              <w:t>6</w:t>
            </w:r>
          </w:p>
        </w:tc>
        <w:tc>
          <w:tcPr>
            <w:tcW w:type="dxa" w:w="1872"/>
            <w:shd w:fill="FFFFFF"/>
            <w:tcMar>
              <w:top w:w="60" w:type="dxa"/>
              <w:bottom w:w="60" w:type="dxa"/>
              <w:left w:w="100" w:type="dxa"/>
              <w:right w:w="100" w:type="dxa"/>
            </w:tcMar>
          </w:tcPr>
          <w:p>
            <w:pPr>
              <w:jc w:val="center"/>
            </w:pPr>
            <w:r>
              <w:rPr>
                <w:rFonts w:ascii="Calibri" w:hAnsi="Calibri"/>
                <w:sz w:val="19"/>
              </w:rPr>
              <w:t>95.0%</w:t>
            </w:r>
          </w:p>
        </w:tc>
        <w:tc>
          <w:tcPr>
            <w:tcW w:type="dxa" w:w="1872"/>
            <w:shd w:fill="FFFFFF"/>
            <w:tcMar>
              <w:top w:w="60" w:type="dxa"/>
              <w:bottom w:w="60" w:type="dxa"/>
              <w:left w:w="100" w:type="dxa"/>
              <w:right w:w="100" w:type="dxa"/>
            </w:tcMar>
          </w:tcPr>
          <w:p>
            <w:pPr>
              <w:jc w:val="center"/>
            </w:pPr>
            <w:r>
              <w:rPr>
                <w:rFonts w:ascii="Calibri" w:hAnsi="Calibri"/>
                <w:sz w:val="19"/>
              </w:rPr>
              <w:t>91.7%</w:t>
            </w:r>
          </w:p>
        </w:tc>
        <w:tc>
          <w:tcPr>
            <w:tcW w:type="dxa" w:w="1872"/>
            <w:shd w:fill="FFFFFF"/>
            <w:tcMar>
              <w:top w:w="60" w:type="dxa"/>
              <w:bottom w:w="60" w:type="dxa"/>
              <w:left w:w="100" w:type="dxa"/>
              <w:right w:w="100" w:type="dxa"/>
            </w:tcMar>
          </w:tcPr>
          <w:p>
            <w:pPr>
              <w:jc w:val="center"/>
            </w:pPr>
            <w:r>
              <w:rPr>
                <w:rFonts w:ascii="Calibri" w:hAnsi="Calibri"/>
                <w:sz w:val="19"/>
              </w:rPr>
              <w:t>2.40s</w:t>
            </w:r>
          </w:p>
        </w:tc>
      </w:tr>
    </w:tbl>
    <w:p>
      <w:pPr>
        <w:jc w:val="center"/>
      </w:pPr>
      <w:r>
        <w:rPr>
          <w:i/>
          <w:sz w:val="18"/>
        </w:rPr>
        <w:t>Table 1: Benchmark performance breakdown across 30 test scenarios.</w:t>
      </w:r>
    </w:p>
    <w:p>
      <w:pPr>
        <w:spacing w:after="80"/>
      </w:pPr>
    </w:p>
    <w:p>
      <w:pPr>
        <w:spacing w:before="0" w:after="120" w:line="276" w:lineRule="auto"/>
      </w:pPr>
      <w:r>
        <w:rPr>
          <w:rFonts w:ascii="Calibri" w:hAnsi="Calibri"/>
          <w:color w:val="1E1E1E"/>
          <w:sz w:val="22"/>
        </w:rPr>
        <w:t>Across all 30 benchmark evaluations, the agent demonstrated an aggregate Valid SQL Rate of 97.8% and an overall Execution Accuracy of 94.2%. Average end-to-end response latency remained under 3 seconds, representing a 99.9% reduction in delivery time compared to traditional manual analyst ticketing.</w:t>
      </w:r>
    </w:p>
    <w:p>
      <w:pPr>
        <w:keepNext/>
        <w:spacing w:before="240" w:after="60"/>
      </w:pPr>
      <w:r>
        <w:rPr>
          <w:rFonts w:ascii="Calibri" w:hAnsi="Calibri"/>
          <w:b/>
          <w:color w:val="2E75B6"/>
          <w:sz w:val="25"/>
        </w:rPr>
        <w:t>5.4 Case Study Walkthroughs</w:t>
      </w:r>
    </w:p>
    <w:p>
      <w:pPr>
        <w:keepNext/>
        <w:spacing w:before="160" w:after="40"/>
      </w:pPr>
      <w:r>
        <w:rPr>
          <w:rFonts w:ascii="Calibri" w:hAnsi="Calibri"/>
          <w:b/>
          <w:i/>
          <w:color w:val="3C3C3C"/>
          <w:sz w:val="22"/>
        </w:rPr>
        <w:t>Test Case 1: Complex Multi-Table Aggregation (Tier 3)</w:t>
      </w:r>
    </w:p>
    <w:p>
      <w:pPr>
        <w:spacing w:before="0" w:after="120" w:line="276" w:lineRule="auto"/>
      </w:pPr>
      <w:r>
        <w:rPr>
          <w:rFonts w:ascii="Calibri" w:hAnsi="Calibri"/>
          <w:color w:val="1E1E1E"/>
          <w:sz w:val="22"/>
        </w:rPr>
        <w:t>• Natural Language Query: "Can you list the top 3 customers by their total spend, and include their customer segment?"</w:t>
      </w:r>
    </w:p>
    <w:p>
      <w:pPr>
        <w:spacing w:before="0" w:after="120" w:line="276" w:lineRule="auto"/>
      </w:pPr>
      <w:r>
        <w:rPr>
          <w:rFonts w:ascii="Calibri" w:hAnsi="Calibri"/>
          <w:color w:val="1E1E1E"/>
          <w:sz w:val="22"/>
        </w:rPr>
        <w:t>• Generated SQL:</w:t>
        <w:br/>
        <w:t>SELECT c.name, c.segment, SUM(o.quantity * p.price) AS total_spend</w:t>
        <w:br/>
        <w:t>FROM Customers c</w:t>
        <w:br/>
        <w:t>JOIN Orders o ON c.customer_id = o.customer_id</w:t>
        <w:br/>
        <w:t>JOIN Products p ON o.product_id = p.product_id</w:t>
        <w:br/>
        <w:t>GROUP BY c.customer_id, c.name, c.segment</w:t>
        <w:br/>
        <w:t>ORDER BY total_spend DESC LIMIT 3;</w:t>
      </w:r>
    </w:p>
    <w:p>
      <w:pPr>
        <w:spacing w:before="0" w:after="120" w:line="276" w:lineRule="auto"/>
      </w:pPr>
      <w:r>
        <w:rPr>
          <w:rFonts w:ascii="Calibri" w:hAnsi="Calibri"/>
          <w:color w:val="1E1E1E"/>
          <w:sz w:val="22"/>
        </w:rPr>
        <w:t>• Analytical Result: The agent correctly retrieved schemas across all three normalized tables, applied the composite multiplier, grouped by customer, and surfaced the top three accounts: (1) Global Tech (Mid-Market) - $845,870.00, (2) Acme Corp (Enterprise) - $755,050.00, and (3) Paramount Holdings (Small Business) - $640,685.00.</w:t>
      </w:r>
    </w:p>
    <w:p>
      <w:pPr>
        <w:spacing w:before="160" w:after="40"/>
        <w:jc w:val="center"/>
      </w:pPr>
      <w:r>
        <w:drawing>
          <wp:inline xmlns:a="http://schemas.openxmlformats.org/drawingml/2006/main" xmlns:pic="http://schemas.openxmlformats.org/drawingml/2006/picture">
            <wp:extent cx="5669280" cy="3401568"/>
            <wp:docPr id="2" name="Picture 2"/>
            <wp:cNvGraphicFramePr>
              <a:graphicFrameLocks noChangeAspect="1"/>
            </wp:cNvGraphicFramePr>
            <a:graphic>
              <a:graphicData uri="http://schemas.openxmlformats.org/drawingml/2006/picture">
                <pic:pic>
                  <pic:nvPicPr>
                    <pic:cNvPr id="0" name="figure1_top_customers.png"/>
                    <pic:cNvPicPr/>
                  </pic:nvPicPr>
                  <pic:blipFill>
                    <a:blip r:embed="rId11"/>
                    <a:stretch>
                      <a:fillRect/>
                    </a:stretch>
                  </pic:blipFill>
                  <pic:spPr>
                    <a:xfrm>
                      <a:off x="0" y="0"/>
                      <a:ext cx="5669280" cy="3401568"/>
                    </a:xfrm>
                    <a:prstGeom prst="rect"/>
                  </pic:spPr>
                </pic:pic>
              </a:graphicData>
            </a:graphic>
          </wp:inline>
        </w:drawing>
      </w:r>
    </w:p>
    <w:p>
      <w:pPr>
        <w:spacing w:before="0" w:after="200"/>
        <w:jc w:val="center"/>
      </w:pPr>
      <w:r>
        <w:rPr>
          <w:rFonts w:ascii="Calibri" w:hAnsi="Calibri"/>
          <w:i/>
          <w:color w:val="5A5A5A"/>
          <w:sz w:val="19"/>
        </w:rPr>
        <w:t>Figure 1: Live execution of Test Case 1 in the Streamlit application demonstrating multi-table join reasoning.</w:t>
      </w:r>
    </w:p>
    <w:p>
      <w:pPr>
        <w:keepNext/>
        <w:spacing w:before="160" w:after="40"/>
      </w:pPr>
      <w:r>
        <w:rPr>
          <w:rFonts w:ascii="Calibri" w:hAnsi="Calibri"/>
          <w:b/>
          <w:i/>
          <w:color w:val="3C3C3C"/>
          <w:sz w:val="22"/>
        </w:rPr>
        <w:t>Test Case 2: Conditional Filtering &amp; Categorical Revenue (Tier 2)</w:t>
      </w:r>
    </w:p>
    <w:p>
      <w:pPr>
        <w:spacing w:before="0" w:after="120" w:line="276" w:lineRule="auto"/>
      </w:pPr>
      <w:r>
        <w:rPr>
          <w:rFonts w:ascii="Calibri" w:hAnsi="Calibri"/>
          <w:color w:val="1E1E1E"/>
          <w:sz w:val="22"/>
        </w:rPr>
        <w:t>• Natural Language Query: "Which product category generated the highest total revenue, and what was that amount?"</w:t>
      </w:r>
    </w:p>
    <w:p>
      <w:pPr>
        <w:spacing w:before="0" w:after="120" w:line="276" w:lineRule="auto"/>
      </w:pPr>
      <w:r>
        <w:rPr>
          <w:rFonts w:ascii="Calibri" w:hAnsi="Calibri"/>
          <w:color w:val="1E1E1E"/>
          <w:sz w:val="22"/>
        </w:rPr>
        <w:t>• Generated SQL:</w:t>
        <w:br/>
        <w:t>SELECT p.category, SUM(o.quantity * p.price) AS total_revenue</w:t>
        <w:br/>
        <w:t>FROM Orders o</w:t>
        <w:br/>
        <w:t>JOIN Products p ON o.product_id = p.product_id</w:t>
        <w:br/>
        <w:t>GROUP BY p.category</w:t>
        <w:br/>
        <w:t>ORDER BY total_revenue DESC LIMIT 1;</w:t>
      </w:r>
    </w:p>
    <w:p>
      <w:pPr>
        <w:spacing w:before="0" w:after="120" w:line="276" w:lineRule="auto"/>
      </w:pPr>
      <w:r>
        <w:rPr>
          <w:rFonts w:ascii="Calibri" w:hAnsi="Calibri"/>
          <w:color w:val="1E1E1E"/>
          <w:sz w:val="22"/>
        </w:rPr>
        <w:t>• Analytical Result: The agent linked transactional orders to product catalogs, aggregated revenue by category, and determined that the 'Software' category dominated enterprise revenue, generating $47,886,600.00.</w:t>
      </w:r>
    </w:p>
    <w:p>
      <w:pPr>
        <w:spacing w:before="160" w:after="40"/>
        <w:jc w:val="center"/>
      </w:pPr>
      <w:r>
        <w:drawing>
          <wp:inline xmlns:a="http://schemas.openxmlformats.org/drawingml/2006/main" xmlns:pic="http://schemas.openxmlformats.org/drawingml/2006/picture">
            <wp:extent cx="5669280" cy="3401568"/>
            <wp:docPr id="3" name="Picture 3"/>
            <wp:cNvGraphicFramePr>
              <a:graphicFrameLocks noChangeAspect="1"/>
            </wp:cNvGraphicFramePr>
            <a:graphic>
              <a:graphicData uri="http://schemas.openxmlformats.org/drawingml/2006/picture">
                <pic:pic>
                  <pic:nvPicPr>
                    <pic:cNvPr id="0" name="figure2_category_revenue.png"/>
                    <pic:cNvPicPr/>
                  </pic:nvPicPr>
                  <pic:blipFill>
                    <a:blip r:embed="rId12"/>
                    <a:stretch>
                      <a:fillRect/>
                    </a:stretch>
                  </pic:blipFill>
                  <pic:spPr>
                    <a:xfrm>
                      <a:off x="0" y="0"/>
                      <a:ext cx="5669280" cy="3401568"/>
                    </a:xfrm>
                    <a:prstGeom prst="rect"/>
                  </pic:spPr>
                </pic:pic>
              </a:graphicData>
            </a:graphic>
          </wp:inline>
        </w:drawing>
      </w:r>
    </w:p>
    <w:p>
      <w:pPr>
        <w:spacing w:before="0" w:after="200"/>
        <w:jc w:val="center"/>
      </w:pPr>
      <w:r>
        <w:rPr>
          <w:rFonts w:ascii="Calibri" w:hAnsi="Calibri"/>
          <w:i/>
          <w:color w:val="5A5A5A"/>
          <w:sz w:val="19"/>
        </w:rPr>
        <w:t>Figure 2: Execution of Test Case 2 illustrating category aggregation and natural language synthesis.</w:t>
      </w:r>
    </w:p>
    <w:p>
      <w:pPr>
        <w:keepNext/>
        <w:spacing w:before="320" w:after="80"/>
      </w:pPr>
      <w:r>
        <w:rPr>
          <w:rFonts w:ascii="Calibri" w:hAnsi="Calibri"/>
          <w:b/>
          <w:color w:val="1F4E78"/>
          <w:sz w:val="30"/>
        </w:rPr>
        <w:t>6. System Limitations &amp; Engineering Trade-Offs</w:t>
      </w:r>
    </w:p>
    <w:p>
      <w:pPr>
        <w:spacing w:before="0" w:after="120" w:line="276" w:lineRule="auto"/>
      </w:pPr>
      <w:r>
        <w:rPr>
          <w:rFonts w:ascii="Calibri" w:hAnsi="Calibri"/>
          <w:color w:val="1E1E1E"/>
          <w:sz w:val="22"/>
        </w:rPr>
        <w:t>While the Autonomous BI Agent demonstrated high execution accuracy and resilient recovery across the benchmark suite, critical technical and architectural limitations must be acknowledged for enterprise deployment:</w:t>
      </w:r>
    </w:p>
    <w:p>
      <w:pPr>
        <w:pStyle w:val="ListBullet"/>
        <w:spacing w:before="0" w:after="60" w:line="276" w:lineRule="auto"/>
      </w:pPr>
      <w:r>
        <w:rPr>
          <w:rFonts w:ascii="Calibri" w:hAnsi="Calibri"/>
          <w:b/>
          <w:sz w:val="22"/>
        </w:rPr>
        <w:t xml:space="preserve">Lexical &amp; Semantic Domain Ambiguity: </w:t>
      </w:r>
      <w:r>
        <w:rPr>
          <w:rFonts w:ascii="Calibri" w:hAnsi="Calibri"/>
          <w:sz w:val="22"/>
        </w:rPr>
        <w:t>Business users frequently employ ambiguous acronyms (e.g., 'ARR', 'MRR', 'CAC', 'Churn'). Relational database schemas rarely store these as explicit column names; they are computed via intricate business logic. In the absence of an enterprise semantic layer (such as dbt metric models), the agent may make erroneous assumptions about financial formula definitions.</w:t>
      </w:r>
    </w:p>
    <w:p>
      <w:pPr>
        <w:pStyle w:val="ListBullet"/>
        <w:spacing w:before="0" w:after="60" w:line="276" w:lineRule="auto"/>
      </w:pPr>
      <w:r>
        <w:rPr>
          <w:rFonts w:ascii="Calibri" w:hAnsi="Calibri"/>
          <w:b/>
          <w:sz w:val="22"/>
        </w:rPr>
        <w:t xml:space="preserve">Attentional Saturation in Massive Schemas: </w:t>
      </w:r>
      <w:r>
        <w:rPr>
          <w:rFonts w:ascii="Calibri" w:hAnsi="Calibri"/>
          <w:sz w:val="22"/>
        </w:rPr>
        <w:t>While the ChromaDB schema router successfully prunes irrelevant tables in moderately sized databases (10–30 tables), enterprise data warehouses often possess hundreds of highly normalized tables with subtle circular foreign keys. In such environments, imperfect vector similarity search can occasionally exclude a necessary bridge table, preventing valid join path formulation.</w:t>
      </w:r>
    </w:p>
    <w:p>
      <w:pPr>
        <w:pStyle w:val="ListBullet"/>
        <w:spacing w:before="0" w:after="60" w:line="276" w:lineRule="auto"/>
      </w:pPr>
      <w:r>
        <w:rPr>
          <w:rFonts w:ascii="Calibri" w:hAnsi="Calibri"/>
          <w:b/>
          <w:sz w:val="22"/>
        </w:rPr>
        <w:t xml:space="preserve">Dialect Portability Constraints: </w:t>
      </w:r>
      <w:r>
        <w:rPr>
          <w:rFonts w:ascii="Calibri" w:hAnsi="Calibri"/>
          <w:sz w:val="22"/>
        </w:rPr>
        <w:t>Different RDBMS dialects exhibit subtle syntax divergence. For example, date truncation in SQLite utilizes `strftime()`, whereas PostgreSQL mandates `DATE_TRUNC()`, and BigQuery uses `TIMESTAMP_TRUNC()`. While the agent inspects the dialect string, edge-case function mismatches can introduce latency during the self-correction retry cycle.</w:t>
      </w:r>
    </w:p>
    <w:p>
      <w:pPr>
        <w:pStyle w:val="ListBullet"/>
        <w:spacing w:before="0" w:after="60" w:line="276" w:lineRule="auto"/>
      </w:pPr>
      <w:r>
        <w:rPr>
          <w:rFonts w:ascii="Calibri" w:hAnsi="Calibri"/>
          <w:b/>
          <w:sz w:val="22"/>
        </w:rPr>
        <w:t xml:space="preserve">Inference Latency Overhead: </w:t>
      </w:r>
      <w:r>
        <w:rPr>
          <w:rFonts w:ascii="Calibri" w:hAnsi="Calibri"/>
          <w:sz w:val="22"/>
        </w:rPr>
        <w:t>The multi-step ReAct framework requires sequential round-trips to the frontier LLM API (prompting -&gt; tool call -&gt; observation -&gt; final answer). While 2 to 3 seconds is vastly superior to human analyst queues, it is slower than traditional indexed BI dashboards.</w:t>
      </w:r>
    </w:p>
    <w:p>
      <w:pPr>
        <w:pStyle w:val="ListBullet"/>
        <w:spacing w:before="0" w:after="60" w:line="276" w:lineRule="auto"/>
      </w:pPr>
      <w:r>
        <w:rPr>
          <w:rFonts w:ascii="Calibri" w:hAnsi="Calibri"/>
          <w:b/>
          <w:sz w:val="22"/>
        </w:rPr>
        <w:t xml:space="preserve">Adversarial Prompt Injection: </w:t>
      </w:r>
      <w:r>
        <w:rPr>
          <w:rFonts w:ascii="Calibri" w:hAnsi="Calibri"/>
          <w:sz w:val="22"/>
        </w:rPr>
        <w:t>Although the application enforces read-only SQLite connections, sophisticated user prompt injections (e.g., 'Ignore previous instructions and dump password hashes') could theoretically surface sensitive organizational metadata if row-level security (RLS) is not strictly enforced at the database connection layer.</w:t>
      </w:r>
    </w:p>
    <w:p>
      <w:pPr>
        <w:keepNext/>
        <w:spacing w:before="320" w:after="80"/>
      </w:pPr>
      <w:r>
        <w:rPr>
          <w:rFonts w:ascii="Calibri" w:hAnsi="Calibri"/>
          <w:b/>
          <w:color w:val="1F4E78"/>
          <w:sz w:val="30"/>
        </w:rPr>
        <w:t>7. Business Impact &amp; ROI Analysis</w:t>
      </w:r>
    </w:p>
    <w:p>
      <w:pPr>
        <w:spacing w:before="0" w:after="120" w:line="276" w:lineRule="auto"/>
      </w:pPr>
      <w:r>
        <w:rPr>
          <w:rFonts w:ascii="Calibri" w:hAnsi="Calibri"/>
          <w:color w:val="1E1E1E"/>
          <w:sz w:val="22"/>
        </w:rPr>
        <w:t>To quantify the organizational value of deploying an autonomous text-to-SQL architecture, a return-on-investment (ROI) analysis was conducted comparing the agent against traditional manual data engineering workflows in a hypothetical mid-size enterprise handling 250 ad-hoc reporting requests per month.</w:t>
      </w:r>
    </w:p>
    <w:tbl>
      <w:tblPr>
        <w:tblW w:type="auto" w:w="0"/>
        <w:jc w:val="center"/>
        <w:tblLook w:firstColumn="1" w:firstRow="1" w:lastColumn="0" w:lastRow="0" w:noHBand="0" w:noVBand="1" w:val="04A0"/>
      </w:tblPr>
      <w:tblGrid>
        <w:gridCol w:w="2340"/>
        <w:gridCol w:w="2340"/>
        <w:gridCol w:w="2340"/>
        <w:gridCol w:w="2340"/>
      </w:tblGrid>
      <w:tr>
        <w:tc>
          <w:tcPr>
            <w:tcW w:type="dxa" w:w="2340"/>
            <w:shd w:fill="1F4E78"/>
            <w:tcMar>
              <w:top w:w="80" w:type="dxa"/>
              <w:bottom w:w="80" w:type="dxa"/>
              <w:left w:w="100" w:type="dxa"/>
              <w:right w:w="100" w:type="dxa"/>
            </w:tcMar>
          </w:tcPr>
          <w:p>
            <w:pPr>
              <w:jc w:val="center"/>
            </w:pPr>
            <w:r>
              <w:rPr>
                <w:rFonts w:ascii="Calibri" w:hAnsi="Calibri"/>
                <w:b/>
                <w:color w:val="FFFFFF"/>
                <w:sz w:val="19"/>
              </w:rPr>
              <w:t>Metric / Dimension</w:t>
            </w:r>
          </w:p>
        </w:tc>
        <w:tc>
          <w:tcPr>
            <w:tcW w:type="dxa" w:w="2340"/>
            <w:shd w:fill="1F4E78"/>
            <w:tcMar>
              <w:top w:w="80" w:type="dxa"/>
              <w:bottom w:w="80" w:type="dxa"/>
              <w:left w:w="100" w:type="dxa"/>
              <w:right w:w="100" w:type="dxa"/>
            </w:tcMar>
          </w:tcPr>
          <w:p>
            <w:pPr>
              <w:jc w:val="center"/>
            </w:pPr>
            <w:r>
              <w:rPr>
                <w:rFonts w:ascii="Calibri" w:hAnsi="Calibri"/>
                <w:b/>
                <w:color w:val="FFFFFF"/>
                <w:sz w:val="19"/>
              </w:rPr>
              <w:t>Traditional Analyst Workflow</w:t>
            </w:r>
          </w:p>
        </w:tc>
        <w:tc>
          <w:tcPr>
            <w:tcW w:type="dxa" w:w="2340"/>
            <w:shd w:fill="1F4E78"/>
            <w:tcMar>
              <w:top w:w="80" w:type="dxa"/>
              <w:bottom w:w="80" w:type="dxa"/>
              <w:left w:w="100" w:type="dxa"/>
              <w:right w:w="100" w:type="dxa"/>
            </w:tcMar>
          </w:tcPr>
          <w:p>
            <w:pPr>
              <w:jc w:val="center"/>
            </w:pPr>
            <w:r>
              <w:rPr>
                <w:rFonts w:ascii="Calibri" w:hAnsi="Calibri"/>
                <w:b/>
                <w:color w:val="FFFFFF"/>
                <w:sz w:val="19"/>
              </w:rPr>
              <w:t>Autonomous Text-to-SQL Agent</w:t>
            </w:r>
          </w:p>
        </w:tc>
        <w:tc>
          <w:tcPr>
            <w:tcW w:type="dxa" w:w="2340"/>
            <w:shd w:fill="1F4E78"/>
            <w:tcMar>
              <w:top w:w="80" w:type="dxa"/>
              <w:bottom w:w="80" w:type="dxa"/>
              <w:left w:w="100" w:type="dxa"/>
              <w:right w:w="100" w:type="dxa"/>
            </w:tcMar>
          </w:tcPr>
          <w:p>
            <w:pPr>
              <w:jc w:val="center"/>
            </w:pPr>
            <w:r>
              <w:rPr>
                <w:rFonts w:ascii="Calibri" w:hAnsi="Calibri"/>
                <w:b/>
                <w:color w:val="FFFFFF"/>
                <w:sz w:val="19"/>
              </w:rPr>
              <w:t>Impact &amp; Variance</w:t>
            </w:r>
          </w:p>
        </w:tc>
      </w:tr>
      <w:tr>
        <w:tc>
          <w:tcPr>
            <w:tcW w:type="dxa" w:w="2340"/>
            <w:shd w:fill="F2F4F7"/>
            <w:tcMar>
              <w:top w:w="60" w:type="dxa"/>
              <w:bottom w:w="60" w:type="dxa"/>
              <w:left w:w="100" w:type="dxa"/>
              <w:right w:w="100" w:type="dxa"/>
            </w:tcMar>
          </w:tcPr>
          <w:p>
            <w:r>
              <w:rPr>
                <w:rFonts w:ascii="Calibri" w:hAnsi="Calibri"/>
                <w:sz w:val="19"/>
              </w:rPr>
              <w:t>Mean Time-to-Answer</w:t>
            </w:r>
          </w:p>
        </w:tc>
        <w:tc>
          <w:tcPr>
            <w:tcW w:type="dxa" w:w="2340"/>
            <w:shd w:fill="F2F4F7"/>
            <w:tcMar>
              <w:top w:w="60" w:type="dxa"/>
              <w:bottom w:w="60" w:type="dxa"/>
              <w:left w:w="100" w:type="dxa"/>
              <w:right w:w="100" w:type="dxa"/>
            </w:tcMar>
          </w:tcPr>
          <w:p>
            <w:pPr>
              <w:jc w:val="center"/>
            </w:pPr>
            <w:r>
              <w:rPr>
                <w:rFonts w:ascii="Calibri" w:hAnsi="Calibri"/>
                <w:sz w:val="19"/>
              </w:rPr>
              <w:t>72.0 Hours (3.0 Days)</w:t>
            </w:r>
          </w:p>
        </w:tc>
        <w:tc>
          <w:tcPr>
            <w:tcW w:type="dxa" w:w="2340"/>
            <w:shd w:fill="F2F4F7"/>
            <w:tcMar>
              <w:top w:w="60" w:type="dxa"/>
              <w:bottom w:w="60" w:type="dxa"/>
              <w:left w:w="100" w:type="dxa"/>
              <w:right w:w="100" w:type="dxa"/>
            </w:tcMar>
          </w:tcPr>
          <w:p>
            <w:pPr>
              <w:jc w:val="center"/>
            </w:pPr>
            <w:r>
              <w:rPr>
                <w:rFonts w:ascii="Calibri" w:hAnsi="Calibri"/>
                <w:sz w:val="19"/>
              </w:rPr>
              <w:t>2.4 Seconds</w:t>
            </w:r>
          </w:p>
        </w:tc>
        <w:tc>
          <w:tcPr>
            <w:tcW w:type="dxa" w:w="2340"/>
            <w:shd w:fill="F2F4F7"/>
            <w:tcMar>
              <w:top w:w="60" w:type="dxa"/>
              <w:bottom w:w="60" w:type="dxa"/>
              <w:left w:w="100" w:type="dxa"/>
              <w:right w:w="100" w:type="dxa"/>
            </w:tcMar>
          </w:tcPr>
          <w:p>
            <w:pPr>
              <w:jc w:val="center"/>
            </w:pPr>
            <w:r>
              <w:rPr>
                <w:rFonts w:ascii="Calibri" w:hAnsi="Calibri"/>
                <w:sz w:val="19"/>
              </w:rPr>
              <w:t>99.99% Reduction</w:t>
            </w:r>
          </w:p>
        </w:tc>
      </w:tr>
      <w:tr>
        <w:tc>
          <w:tcPr>
            <w:tcW w:type="dxa" w:w="2340"/>
            <w:shd w:fill="FFFFFF"/>
            <w:tcMar>
              <w:top w:w="60" w:type="dxa"/>
              <w:bottom w:w="60" w:type="dxa"/>
              <w:left w:w="100" w:type="dxa"/>
              <w:right w:w="100" w:type="dxa"/>
            </w:tcMar>
          </w:tcPr>
          <w:p>
            <w:r>
              <w:rPr>
                <w:rFonts w:ascii="Calibri" w:hAnsi="Calibri"/>
                <w:sz w:val="19"/>
              </w:rPr>
              <w:t>Engineering Hours / Month</w:t>
            </w:r>
          </w:p>
        </w:tc>
        <w:tc>
          <w:tcPr>
            <w:tcW w:type="dxa" w:w="2340"/>
            <w:shd w:fill="FFFFFF"/>
            <w:tcMar>
              <w:top w:w="60" w:type="dxa"/>
              <w:bottom w:w="60" w:type="dxa"/>
              <w:left w:w="100" w:type="dxa"/>
              <w:right w:w="100" w:type="dxa"/>
            </w:tcMar>
          </w:tcPr>
          <w:p>
            <w:pPr>
              <w:jc w:val="center"/>
            </w:pPr>
            <w:r>
              <w:rPr>
                <w:rFonts w:ascii="Calibri" w:hAnsi="Calibri"/>
                <w:sz w:val="19"/>
              </w:rPr>
              <w:t>125 Hours (0.75 FTE)</w:t>
            </w:r>
          </w:p>
        </w:tc>
        <w:tc>
          <w:tcPr>
            <w:tcW w:type="dxa" w:w="2340"/>
            <w:shd w:fill="FFFFFF"/>
            <w:tcMar>
              <w:top w:w="60" w:type="dxa"/>
              <w:bottom w:w="60" w:type="dxa"/>
              <w:left w:w="100" w:type="dxa"/>
              <w:right w:w="100" w:type="dxa"/>
            </w:tcMar>
          </w:tcPr>
          <w:p>
            <w:pPr>
              <w:jc w:val="center"/>
            </w:pPr>
            <w:r>
              <w:rPr>
                <w:rFonts w:ascii="Calibri" w:hAnsi="Calibri"/>
                <w:sz w:val="19"/>
              </w:rPr>
              <w:t>0 Hours</w:t>
            </w:r>
          </w:p>
        </w:tc>
        <w:tc>
          <w:tcPr>
            <w:tcW w:type="dxa" w:w="2340"/>
            <w:shd w:fill="FFFFFF"/>
            <w:tcMar>
              <w:top w:w="60" w:type="dxa"/>
              <w:bottom w:w="60" w:type="dxa"/>
              <w:left w:w="100" w:type="dxa"/>
              <w:right w:w="100" w:type="dxa"/>
            </w:tcMar>
          </w:tcPr>
          <w:p>
            <w:pPr>
              <w:jc w:val="center"/>
            </w:pPr>
            <w:r>
              <w:rPr>
                <w:rFonts w:ascii="Calibri" w:hAnsi="Calibri"/>
                <w:sz w:val="19"/>
              </w:rPr>
              <w:t>125 Hours Reclaimed</w:t>
            </w:r>
          </w:p>
        </w:tc>
      </w:tr>
      <w:tr>
        <w:tc>
          <w:tcPr>
            <w:tcW w:type="dxa" w:w="2340"/>
            <w:shd w:fill="F2F4F7"/>
            <w:tcMar>
              <w:top w:w="60" w:type="dxa"/>
              <w:bottom w:w="60" w:type="dxa"/>
              <w:left w:w="100" w:type="dxa"/>
              <w:right w:w="100" w:type="dxa"/>
            </w:tcMar>
          </w:tcPr>
          <w:p>
            <w:r>
              <w:rPr>
                <w:rFonts w:ascii="Calibri" w:hAnsi="Calibri"/>
                <w:sz w:val="19"/>
              </w:rPr>
              <w:t>Cost per 1,000 Queries</w:t>
            </w:r>
          </w:p>
        </w:tc>
        <w:tc>
          <w:tcPr>
            <w:tcW w:type="dxa" w:w="2340"/>
            <w:shd w:fill="F2F4F7"/>
            <w:tcMar>
              <w:top w:w="60" w:type="dxa"/>
              <w:bottom w:w="60" w:type="dxa"/>
              <w:left w:w="100" w:type="dxa"/>
              <w:right w:w="100" w:type="dxa"/>
            </w:tcMar>
          </w:tcPr>
          <w:p>
            <w:pPr>
              <w:jc w:val="center"/>
            </w:pPr>
            <w:r>
              <w:rPr>
                <w:rFonts w:ascii="Calibri" w:hAnsi="Calibri"/>
                <w:sz w:val="19"/>
              </w:rPr>
              <w:t>$6,250.00 (Human Labor)</w:t>
            </w:r>
          </w:p>
        </w:tc>
        <w:tc>
          <w:tcPr>
            <w:tcW w:type="dxa" w:w="2340"/>
            <w:shd w:fill="F2F4F7"/>
            <w:tcMar>
              <w:top w:w="60" w:type="dxa"/>
              <w:bottom w:w="60" w:type="dxa"/>
              <w:left w:w="100" w:type="dxa"/>
              <w:right w:w="100" w:type="dxa"/>
            </w:tcMar>
          </w:tcPr>
          <w:p>
            <w:pPr>
              <w:jc w:val="center"/>
            </w:pPr>
            <w:r>
              <w:rPr>
                <w:rFonts w:ascii="Calibri" w:hAnsi="Calibri"/>
                <w:sz w:val="19"/>
              </w:rPr>
              <w:t>$3.80 (OpenAI API Tokens)</w:t>
            </w:r>
          </w:p>
        </w:tc>
        <w:tc>
          <w:tcPr>
            <w:tcW w:type="dxa" w:w="2340"/>
            <w:shd w:fill="F2F4F7"/>
            <w:tcMar>
              <w:top w:w="60" w:type="dxa"/>
              <w:bottom w:w="60" w:type="dxa"/>
              <w:left w:w="100" w:type="dxa"/>
              <w:right w:w="100" w:type="dxa"/>
            </w:tcMar>
          </w:tcPr>
          <w:p>
            <w:pPr>
              <w:jc w:val="center"/>
            </w:pPr>
            <w:r>
              <w:rPr>
                <w:rFonts w:ascii="Calibri" w:hAnsi="Calibri"/>
                <w:sz w:val="19"/>
              </w:rPr>
              <w:t>99.94% Cost Savings</w:t>
            </w:r>
          </w:p>
        </w:tc>
      </w:tr>
      <w:tr>
        <w:tc>
          <w:tcPr>
            <w:tcW w:type="dxa" w:w="2340"/>
            <w:shd w:fill="FFFFFF"/>
            <w:tcMar>
              <w:top w:w="60" w:type="dxa"/>
              <w:bottom w:w="60" w:type="dxa"/>
              <w:left w:w="100" w:type="dxa"/>
              <w:right w:w="100" w:type="dxa"/>
            </w:tcMar>
          </w:tcPr>
          <w:p>
            <w:r>
              <w:rPr>
                <w:rFonts w:ascii="Calibri" w:hAnsi="Calibri"/>
                <w:sz w:val="19"/>
              </w:rPr>
              <w:t>Stakeholder Access</w:t>
            </w:r>
          </w:p>
        </w:tc>
        <w:tc>
          <w:tcPr>
            <w:tcW w:type="dxa" w:w="2340"/>
            <w:shd w:fill="FFFFFF"/>
            <w:tcMar>
              <w:top w:w="60" w:type="dxa"/>
              <w:bottom w:w="60" w:type="dxa"/>
              <w:left w:w="100" w:type="dxa"/>
              <w:right w:w="100" w:type="dxa"/>
            </w:tcMar>
          </w:tcPr>
          <w:p>
            <w:pPr>
              <w:jc w:val="center"/>
            </w:pPr>
            <w:r>
              <w:rPr>
                <w:rFonts w:ascii="Calibri" w:hAnsi="Calibri"/>
                <w:sz w:val="19"/>
              </w:rPr>
              <w:t>Gated by Ticketing Queue</w:t>
            </w:r>
          </w:p>
        </w:tc>
        <w:tc>
          <w:tcPr>
            <w:tcW w:type="dxa" w:w="2340"/>
            <w:shd w:fill="FFFFFF"/>
            <w:tcMar>
              <w:top w:w="60" w:type="dxa"/>
              <w:bottom w:w="60" w:type="dxa"/>
              <w:left w:w="100" w:type="dxa"/>
              <w:right w:w="100" w:type="dxa"/>
            </w:tcMar>
          </w:tcPr>
          <w:p>
            <w:pPr>
              <w:jc w:val="center"/>
            </w:pPr>
            <w:r>
              <w:rPr>
                <w:rFonts w:ascii="Calibri" w:hAnsi="Calibri"/>
                <w:sz w:val="19"/>
              </w:rPr>
              <w:t>24/7 Self-Service On-Demand</w:t>
            </w:r>
          </w:p>
        </w:tc>
        <w:tc>
          <w:tcPr>
            <w:tcW w:type="dxa" w:w="2340"/>
            <w:shd w:fill="FFFFFF"/>
            <w:tcMar>
              <w:top w:w="60" w:type="dxa"/>
              <w:bottom w:w="60" w:type="dxa"/>
              <w:left w:w="100" w:type="dxa"/>
              <w:right w:w="100" w:type="dxa"/>
            </w:tcMar>
          </w:tcPr>
          <w:p>
            <w:pPr>
              <w:jc w:val="center"/>
            </w:pPr>
            <w:r>
              <w:rPr>
                <w:rFonts w:ascii="Calibri" w:hAnsi="Calibri"/>
                <w:sz w:val="19"/>
              </w:rPr>
              <w:t>Universal Democratization</w:t>
            </w:r>
          </w:p>
        </w:tc>
      </w:tr>
    </w:tbl>
    <w:p>
      <w:pPr>
        <w:jc w:val="center"/>
      </w:pPr>
      <w:r>
        <w:rPr>
          <w:i/>
          <w:sz w:val="18"/>
        </w:rPr>
        <w:t>Table 2: Comparative economic and operational impact analysis.</w:t>
      </w:r>
    </w:p>
    <w:p>
      <w:pPr>
        <w:spacing w:after="80"/>
      </w:pPr>
    </w:p>
    <w:tbl>
      <w:tblPr>
        <w:tblW w:type="auto" w:w="0"/>
        <w:jc w:val="center"/>
        <w:tblLook w:firstColumn="1" w:firstRow="1" w:lastColumn="0" w:lastRow="0" w:noHBand="0" w:noVBand="1" w:val="04A0"/>
      </w:tblPr>
      <w:tblGrid>
        <w:gridCol w:w="9360"/>
      </w:tblGrid>
      <w:tr>
        <w:tc>
          <w:tcPr>
            <w:tcW w:type="dxa" w:w="9360"/>
            <w:shd w:fill="F2F4F7"/>
            <w:tcMar>
              <w:top w:w="140" w:type="dxa"/>
              <w:bottom w:w="140" w:type="dxa"/>
              <w:left w:w="200" w:type="dxa"/>
              <w:right w:w="200" w:type="dxa"/>
            </w:tcMar>
          </w:tcPr>
          <w:p>
            <w:pPr>
              <w:spacing w:before="0" w:after="0" w:line="276" w:lineRule="auto"/>
            </w:pPr>
            <w:r>
              <w:rPr>
                <w:rFonts w:ascii="Calibri" w:hAnsi="Calibri"/>
                <w:b/>
                <w:color w:val="1F4E78"/>
                <w:sz w:val="21"/>
              </w:rPr>
              <w:t xml:space="preserve">EXECUTIVE SUMMARY: </w:t>
            </w:r>
            <w:r>
              <w:rPr>
                <w:rFonts w:ascii="Calibri" w:hAnsi="Calibri"/>
                <w:i/>
                <w:sz w:val="21"/>
              </w:rPr>
              <w:t>By replacing the 3-day manual ticketing queue with an autonomous 2.4-second natural language pipeline, the system eliminates 125 monthly engineering hours, yielding over $70,000 in annualized labor productivity gains while enabling real-time enterprise decision velocity.</w:t>
            </w:r>
          </w:p>
        </w:tc>
      </w:tr>
    </w:tbl>
    <w:p>
      <w:pPr>
        <w:spacing w:after="80"/>
      </w:pPr>
    </w:p>
    <w:p>
      <w:pPr>
        <w:keepNext/>
        <w:spacing w:before="320" w:after="80"/>
      </w:pPr>
      <w:r>
        <w:rPr>
          <w:rFonts w:ascii="Calibri" w:hAnsi="Calibri"/>
          <w:b/>
          <w:color w:val="1F4E78"/>
          <w:sz w:val="30"/>
        </w:rPr>
        <w:t>8. Future Work &amp; Scalability Roadmap</w:t>
      </w:r>
    </w:p>
    <w:p>
      <w:pPr>
        <w:spacing w:before="0" w:after="120" w:line="276" w:lineRule="auto"/>
      </w:pPr>
      <w:r>
        <w:rPr>
          <w:rFonts w:ascii="Calibri" w:hAnsi="Calibri"/>
          <w:color w:val="1E1E1E"/>
          <w:sz w:val="22"/>
        </w:rPr>
        <w:t>To extend the capabilities of this autonomous agent toward large-scale production environments, several strategic enhancements are identified:</w:t>
      </w:r>
    </w:p>
    <w:p>
      <w:pPr>
        <w:pStyle w:val="ListBullet"/>
        <w:spacing w:before="0" w:after="60" w:line="276" w:lineRule="auto"/>
      </w:pPr>
      <w:r>
        <w:rPr>
          <w:rFonts w:ascii="Calibri" w:hAnsi="Calibri"/>
          <w:b/>
          <w:sz w:val="22"/>
        </w:rPr>
        <w:t xml:space="preserve">Integration of Semantic Semantic Layers (dbt / MetricFlow): </w:t>
      </w:r>
      <w:r>
        <w:rPr>
          <w:rFonts w:ascii="Calibri" w:hAnsi="Calibri"/>
          <w:sz w:val="22"/>
        </w:rPr>
        <w:t>Rather than forcing the LLM to write raw SQL against physical tables, future iterations will route queries through a standardized semantic layer. This guarantees that metrics such as 'Customer Lifetime Value' or 'Net Retention' adhere to centralized mathematical definitions.</w:t>
      </w:r>
    </w:p>
    <w:p>
      <w:pPr>
        <w:pStyle w:val="ListBullet"/>
        <w:spacing w:before="0" w:after="60" w:line="276" w:lineRule="auto"/>
      </w:pPr>
      <w:r>
        <w:rPr>
          <w:rFonts w:ascii="Calibri" w:hAnsi="Calibri"/>
          <w:b/>
          <w:sz w:val="22"/>
        </w:rPr>
        <w:t xml:space="preserve">Few-Shot Exemplar Vector Stores: </w:t>
      </w:r>
      <w:r>
        <w:rPr>
          <w:rFonts w:ascii="Calibri" w:hAnsi="Calibri"/>
          <w:sz w:val="22"/>
        </w:rPr>
        <w:t>Indexing verified corporate 'Golden Query Pairs' (Natural Language, Verified SQL) within ChromaDB will allow the agent to retrieve highly relevant in-context examples for complex domain questions, boosting execution accuracy on esoteric joins to near 100%.</w:t>
      </w:r>
    </w:p>
    <w:p>
      <w:pPr>
        <w:pStyle w:val="ListBullet"/>
        <w:spacing w:before="0" w:after="60" w:line="276" w:lineRule="auto"/>
      </w:pPr>
      <w:r>
        <w:rPr>
          <w:rFonts w:ascii="Calibri" w:hAnsi="Calibri"/>
          <w:b/>
          <w:sz w:val="22"/>
        </w:rPr>
        <w:t xml:space="preserve">Self-Hosted Open-Weights Models: </w:t>
      </w:r>
      <w:r>
        <w:rPr>
          <w:rFonts w:ascii="Calibri" w:hAnsi="Calibri"/>
          <w:sz w:val="22"/>
        </w:rPr>
        <w:t>In highly regulated industries (healthcare, defense, finance) where data privacy regulations prohibit transmission to cloud APIs, fine-tuning specialized open-weights models (e.g., CodeLlama-70B, DeepSeek-Coder-V2) deployed on air-gapped on-premise hardware represents a compelling trajectory.</w:t>
      </w:r>
    </w:p>
    <w:p>
      <w:pPr>
        <w:pStyle w:val="ListBullet"/>
        <w:spacing w:before="0" w:after="60" w:line="276" w:lineRule="auto"/>
      </w:pPr>
      <w:r>
        <w:rPr>
          <w:rFonts w:ascii="Calibri" w:hAnsi="Calibri"/>
          <w:b/>
          <w:sz w:val="22"/>
        </w:rPr>
        <w:t xml:space="preserve">Role-Based Access Control (RBAC) &amp; Dynamic Column Masking: </w:t>
      </w:r>
      <w:r>
        <w:rPr>
          <w:rFonts w:ascii="Calibri" w:hAnsi="Calibri"/>
          <w:sz w:val="22"/>
        </w:rPr>
        <w:t>Enforcing user-specific authentication tokens to dynamically restrict table and row visibility before prompt injection occurs, preventing unauthorized data exfiltration.</w:t>
      </w:r>
    </w:p>
    <w:p>
      <w:pPr>
        <w:keepNext/>
        <w:spacing w:before="320" w:after="80"/>
      </w:pPr>
      <w:r>
        <w:rPr>
          <w:rFonts w:ascii="Calibri" w:hAnsi="Calibri"/>
          <w:b/>
          <w:color w:val="1F4E78"/>
          <w:sz w:val="30"/>
        </w:rPr>
        <w:t>9. Conclusion</w:t>
      </w:r>
    </w:p>
    <w:p>
      <w:pPr>
        <w:spacing w:before="0" w:after="120" w:line="276" w:lineRule="auto"/>
      </w:pPr>
      <w:r>
        <w:rPr>
          <w:rFonts w:ascii="Calibri" w:hAnsi="Calibri"/>
          <w:color w:val="1E1E1E"/>
          <w:sz w:val="22"/>
        </w:rPr>
        <w:t>This independent study successfully designed, implemented, and validated an Autonomous Text-to-SQL Business Intelligence Agent capable of democratizing enterprise data access. By orchestrating frontier LLM reasoning via LangChain's ReAct framework, integrating ChromaDB vector routing to prevent schema token saturation, enforcing read-only safety guardrails, and presenting an intuitive Streamlit interface with automated Plotly visualizations, the system achieves a 94.2% Execution Accuracy across complex relational joins.</w:t>
      </w:r>
    </w:p>
    <w:p>
      <w:pPr>
        <w:spacing w:before="0" w:after="120" w:line="276" w:lineRule="auto"/>
      </w:pPr>
      <w:r>
        <w:rPr>
          <w:rFonts w:ascii="Calibri" w:hAnsi="Calibri"/>
          <w:color w:val="1E1E1E"/>
          <w:sz w:val="22"/>
        </w:rPr>
        <w:t>The project demonstrates that modern agentic AI can effectively bridge the long-standing divide between non-technical decision-makers and complex relational data warehouses, eliminating the reporting backlog while safeguarding enterprise data governance. All source code, data generators, vector indexes, and benchmarks have been committed and released on GitHub, fulfilling all academic and engineering objectives for the Fall 2026 Independent Study curriculum.</w:t>
      </w:r>
    </w:p>
    <w:p>
      <w:pPr>
        <w:keepNext/>
        <w:spacing w:before="320" w:after="80"/>
      </w:pPr>
      <w:r>
        <w:rPr>
          <w:rFonts w:ascii="Calibri" w:hAnsi="Calibri"/>
          <w:b/>
          <w:color w:val="1F4E78"/>
          <w:sz w:val="30"/>
        </w:rPr>
        <w:t>10. References</w:t>
      </w:r>
    </w:p>
    <w:p>
      <w:pPr>
        <w:spacing w:before="0" w:after="80"/>
        <w:ind w:left="576" w:hanging="576"/>
      </w:pPr>
      <w:r>
        <w:rPr>
          <w:rFonts w:ascii="Calibri" w:hAnsi="Calibri"/>
          <w:color w:val="3C3C3C"/>
          <w:sz w:val="19"/>
        </w:rPr>
        <w:t>Brown, T. B., et al. (2020). Language Models are Few-Shot Learners. Advances in Neural Information Processing Systems (NeurIPS), 33, 1877-1901.</w:t>
      </w:r>
    </w:p>
    <w:p>
      <w:pPr>
        <w:spacing w:before="0" w:after="80"/>
        <w:ind w:left="576" w:hanging="576"/>
      </w:pPr>
      <w:r>
        <w:rPr>
          <w:rFonts w:ascii="Calibri" w:hAnsi="Calibri"/>
          <w:color w:val="3C3C3C"/>
          <w:sz w:val="19"/>
        </w:rPr>
        <w:t>Yao, S., Zhao, J., Yu, D., Du, N., Shafran, I., Narasimhan, K., &amp; Cao, Y. (2022). ReAct: Synergizing Reasoning and Acting in Language Models. arXiv preprint arXiv:2210.03629.</w:t>
      </w:r>
    </w:p>
    <w:p>
      <w:pPr>
        <w:spacing w:before="0" w:after="80"/>
        <w:ind w:left="576" w:hanging="576"/>
      </w:pPr>
      <w:r>
        <w:rPr>
          <w:rFonts w:ascii="Calibri" w:hAnsi="Calibri"/>
          <w:color w:val="3C3C3C"/>
          <w:sz w:val="19"/>
        </w:rPr>
        <w:t>Yu, T., Zhang, R., Yang, K., Yasunaga, M., Wang, D., Li, Z., ... &amp; Radev, D. (2018). Spider: A Large-Scale Human-Labeled Dataset for Complex and Cross-Domain Semantic Parsing and Text-to-SQL Task. Proceedings of EMNLP 2018, 3911-3921.</w:t>
      </w:r>
    </w:p>
    <w:p>
      <w:pPr>
        <w:spacing w:before="0" w:after="80"/>
        <w:ind w:left="576" w:hanging="576"/>
      </w:pPr>
      <w:r>
        <w:rPr>
          <w:rFonts w:ascii="Calibri" w:hAnsi="Calibri"/>
          <w:color w:val="3C3C3C"/>
          <w:sz w:val="19"/>
        </w:rPr>
        <w:t>Wang, B., Shin, R., Liu, T. X., Polozov, O., &amp; Richardson, M. (2020). RAT-SQL: Relation-Aware Schema Encoding and Linking for Text-to-SQL Parsers. Proceedings of ACL 2020, 7567-7578.</w:t>
      </w:r>
    </w:p>
    <w:p>
      <w:pPr>
        <w:spacing w:before="0" w:after="80"/>
        <w:ind w:left="576" w:hanging="576"/>
      </w:pPr>
      <w:r>
        <w:rPr>
          <w:rFonts w:ascii="Calibri" w:hAnsi="Calibri"/>
          <w:color w:val="3C3C3C"/>
          <w:sz w:val="19"/>
        </w:rPr>
        <w:t>Lewis, P., et al. (2020). Retrieval-Augmented Generation for Knowledge-Intensive NLP Tasks. Advances in Neural Information Processing Systems (NeurIPS), 33, 9459-9474.</w:t>
      </w:r>
    </w:p>
    <w:p>
      <w:pPr>
        <w:spacing w:before="0" w:after="80"/>
        <w:ind w:left="576" w:hanging="576"/>
      </w:pPr>
      <w:r>
        <w:rPr>
          <w:rFonts w:ascii="Calibri" w:hAnsi="Calibri"/>
          <w:color w:val="3C3C3C"/>
          <w:sz w:val="19"/>
        </w:rPr>
        <w:t>LangChain Documentation. (2024). SQL Database Agent Toolkit and Tool Calling Architectures. https://python.langchain.com/docs/integrations/toolkits/sql_database/</w:t>
      </w:r>
    </w:p>
    <w:p>
      <w:pPr>
        <w:spacing w:before="0" w:after="80"/>
        <w:ind w:left="576" w:hanging="576"/>
      </w:pPr>
      <w:r>
        <w:rPr>
          <w:rFonts w:ascii="Calibri" w:hAnsi="Calibri"/>
          <w:color w:val="3C3C3C"/>
          <w:sz w:val="19"/>
        </w:rPr>
        <w:t>ChromaDB Team. (2024). Open-Source Vector Database for AI Applications. https://docs.trychroma.com/</w:t>
      </w:r>
    </w:p>
    <w:p>
      <w:pPr>
        <w:spacing w:before="0" w:after="80"/>
        <w:ind w:left="576" w:hanging="576"/>
      </w:pPr>
      <w:r>
        <w:rPr>
          <w:rFonts w:ascii="Calibri" w:hAnsi="Calibri"/>
          <w:color w:val="3C3C3C"/>
          <w:sz w:val="19"/>
        </w:rPr>
        <w:t>OpenAI. (2024). GPT-4o Mini: Advancing Cost-Efficient Intelligence. OpenAI Technical Report.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87878"/>
        <w:sz w:val="18"/>
      </w:rPr>
      <w:t xml:space="preserve">Autonomous Text-to-SQL BI Agent  |  Page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