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jc w:val="center"/>
      </w:pPr>
      <w:r>
        <w:rPr>
          <w:b/>
          <w:bCs/>
          <w:color w:val="566573"/>
          <w:sz w:val="24"/>
          <w:szCs w:val="24"/>
        </w:rPr>
        <w:t xml:space="preserve">DOCUMENTO TÉCNICO</w:t>
      </w:r>
    </w:p>
    <w:p>
      <w:pPr>
        <w:spacing w:before="0" w:after="0"/>
      </w:pPr>
      <w:r>
        <w:t xml:space="preserve"/>
      </w:r>
    </w:p>
    <w:p>
      <w:pPr>
        <w:spacing w:before="0" w:after="80"/>
        <w:jc w:val="center"/>
      </w:pPr>
      <w:r>
        <w:rPr>
          <w:b/>
          <w:bCs/>
          <w:color w:val="1B4F72"/>
          <w:sz w:val="64"/>
          <w:szCs w:val="64"/>
        </w:rPr>
        <w:t xml:space="preserve">MolDesign</w:t>
      </w:r>
    </w:p>
    <w:p>
      <w:pPr>
        <w:spacing w:before="0" w:after="600"/>
        <w:jc w:val="center"/>
      </w:pPr>
      <w:r>
        <w:rPr>
          <w:i/>
          <w:iCs/>
          <w:color w:val="2E86C1"/>
          <w:sz w:val="32"/>
          <w:szCs w:val="32"/>
        </w:rPr>
        <w:t xml:space="preserve">Plataforma de Diseño Molecular Asistido por IA</w:t>
      </w:r>
    </w:p>
    <w:p>
      <w:pPr>
        <w:pBdr>
          <w:top w:val="single" w:color="2E86C1" w:sz="6" w:space="1"/>
        </w:pBdr>
        <w:spacing w:before="0" w:after="400"/>
        <w:jc w:val="center"/>
      </w:pPr>
      <w:r>
        <w:t xml:space="preserve"/>
      </w:r>
    </w:p>
    <w:p>
      <w:pPr>
        <w:spacing w:before="0" w:after="200"/>
        <w:jc w:val="center"/>
      </w:pPr>
      <w:r>
        <w:rPr>
          <w:color w:val="566573"/>
          <w:sz w:val="26"/>
          <w:szCs w:val="26"/>
        </w:rPr>
        <w:t xml:space="preserve">Arquitectura, Decisiones Técnicas y Filosofía del Sistema</w:t>
      </w:r>
    </w:p>
    <w:p>
      <w:pPr>
        <w:jc w:val="center"/>
      </w:pPr>
      <w:r>
        <w:rPr>
          <w:color w:val="566573"/>
          <w:sz w:val="22"/>
          <w:szCs w:val="22"/>
        </w:rPr>
        <w:t xml:space="preserve">Versión 1.0  —  2026</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jc w:val="center"/>
      </w:pPr>
      <w:r>
        <w:rPr>
          <w:b/>
          <w:bCs/>
          <w:color w:val="566573"/>
          <w:sz w:val="18"/>
          <w:szCs w:val="18"/>
        </w:rPr>
        <w:t xml:space="preserve">CONFIDENCIAL — USO INTERNO</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86C1" w:sz="6" w:space="1"/>
        </w:pBdr>
        <w:spacing w:before="400" w:after="200"/>
      </w:pPr>
      <w:r>
        <w:rPr>
          <w:b/>
          <w:bCs/>
          <w:color w:val="1B4F72"/>
        </w:rPr>
        <w:t xml:space="preserve">1. Visión y Filosofía del Proyecto</w:t>
      </w:r>
    </w:p>
    <w:p>
      <w:pPr>
        <w:spacing w:before="80" w:after="120"/>
        <w:jc w:val="both"/>
      </w:pPr>
      <w:r>
        <w:rPr>
          <w:sz w:val="22"/>
          <w:szCs w:val="22"/>
        </w:rPr>
        <w:t xml:space="preserve">MolDesign es una plataforma de diseño molecular asistido que combina química computacional real con una interfaz gamificada. El objetivo no es simular la química sino ejecutarla: cada evaluación utiliza las mismas herramientas que la industria farmacéutica profesional.</w:t>
      </w:r>
    </w:p>
    <w:p>
      <w:pPr>
        <w:pStyle w:val="Heading2"/>
        <w:spacing w:before="300" w:after="160"/>
      </w:pPr>
      <w:r>
        <w:rPr>
          <w:b/>
          <w:bCs/>
          <w:color w:val="2E86C1"/>
        </w:rPr>
        <w:t xml:space="preserve">1.1 Principio Fundamental: Validez Científica Inamovible</w:t>
      </w:r>
    </w:p>
    <w:p>
      <w:pPr>
        <w:spacing w:before="80" w:after="120"/>
        <w:jc w:val="both"/>
      </w:pPr>
      <w:r>
        <w:rPr>
          <w:sz w:val="22"/>
          <w:szCs w:val="22"/>
        </w:rPr>
        <w:t xml:space="preserve">La validez científica del sistema es su diferenciador más importante y no puede negociarse por ninguna consideración de negocio, hackathon o preferencia de usuario. Las decisiones de qué herramientas usar, cómo calcular los scores y cómo interpretar los resultados están guiadas exclusivamente por la literatura farmacológica peer-reviewed.</w:t>
      </w:r>
    </w:p>
    <w:p>
      <w:pPr>
        <w:spacing w:before="80" w:after="120"/>
        <w:jc w:val="both"/>
      </w:pPr>
      <w:r>
        <w:rPr>
          <w:sz w:val="22"/>
          <w:szCs w:val="22"/>
        </w:rPr>
        <w:t xml:space="preserve">Esto significa concretamente:</w:t>
      </w:r>
    </w:p>
    <w:p>
      <w:pPr>
        <w:pStyle w:val="ListParagraph"/>
        <w:numPr>
          <w:ilvl w:val="0"/>
          <w:numId w:val="2"/>
        </w:numPr>
        <w:spacing w:before="60" w:after="60"/>
      </w:pPr>
      <w:r>
        <w:rPr>
          <w:sz w:val="22"/>
          <w:szCs w:val="22"/>
        </w:rPr>
        <w:t xml:space="preserve">El score de afinidad viene de AutoDock Vina, no de un modelo de ML propio</w:t>
      </w:r>
    </w:p>
    <w:p>
      <w:pPr>
        <w:pStyle w:val="ListParagraph"/>
        <w:numPr>
          <w:ilvl w:val="0"/>
          <w:numId w:val="2"/>
        </w:numPr>
        <w:spacing w:before="60" w:after="60"/>
      </w:pPr>
      <w:r>
        <w:rPr>
          <w:sz w:val="22"/>
          <w:szCs w:val="22"/>
        </w:rPr>
        <w:t xml:space="preserve">Las propiedades fisioquímicas las calcula RDKit con algoritmos estándar de la industria</w:t>
      </w:r>
    </w:p>
    <w:p>
      <w:pPr>
        <w:pStyle w:val="ListParagraph"/>
        <w:numPr>
          <w:ilvl w:val="0"/>
          <w:numId w:val="2"/>
        </w:numPr>
        <w:spacing w:before="60" w:after="60"/>
      </w:pPr>
      <w:r>
        <w:rPr>
          <w:sz w:val="22"/>
          <w:szCs w:val="22"/>
        </w:rPr>
        <w:t xml:space="preserve">Las reglas de drug-likeness son Lipinski (1997) y Veber (2002), no criterios inventados</w:t>
      </w:r>
    </w:p>
    <w:p>
      <w:pPr>
        <w:pStyle w:val="ListParagraph"/>
        <w:numPr>
          <w:ilvl w:val="0"/>
          <w:numId w:val="2"/>
        </w:numPr>
        <w:spacing w:before="60" w:after="60"/>
      </w:pPr>
      <w:r>
        <w:rPr>
          <w:sz w:val="22"/>
          <w:szCs w:val="22"/>
        </w:rPr>
        <w:t xml:space="preserve">La IA interpreta los resultados pero nunca los calcula</w:t>
      </w:r>
    </w:p>
    <w:p>
      <w:pPr>
        <w:pStyle w:val="Heading2"/>
        <w:spacing w:before="300" w:after="160"/>
      </w:pPr>
      <w:r>
        <w:rPr>
          <w:b/>
          <w:bCs/>
          <w:color w:val="2E86C1"/>
        </w:rPr>
        <w:t xml:space="preserve">1.2 Filosofía Open Science</w:t>
      </w:r>
    </w:p>
    <w:p>
      <w:pPr>
        <w:spacing w:before="80" w:after="120"/>
        <w:jc w:val="both"/>
      </w:pPr>
      <w:r>
        <w:rPr>
          <w:sz w:val="22"/>
          <w:szCs w:val="22"/>
        </w:rPr>
        <w:t xml:space="preserve">El sistema está diseñado para que el conocimiento generado sea de la humanidad, no del usuario individual. El usuario recibe reconocimiento científico permanente e irrevocable por su descubrimiento, pero no derechos de propiedad exclusivos sobre la molécula.</w:t>
      </w:r>
    </w:p>
    <w:p>
      <w:pPr>
        <w:spacing w:before="80" w:after="120"/>
        <w:jc w:val="both"/>
      </w:pPr>
      <w:r>
        <w:rPr>
          <w:sz w:val="22"/>
          <w:szCs w:val="22"/>
        </w:rPr>
        <w:t xml:space="preserve">El registro en blockchain (Fase 4) utiliza licencia CC0 (Creative Commons Zero — dominio público universal), lo que significa:</w:t>
      </w:r>
    </w:p>
    <w:p>
      <w:pPr>
        <w:pStyle w:val="ListParagraph"/>
        <w:numPr>
          <w:ilvl w:val="0"/>
          <w:numId w:val="2"/>
        </w:numPr>
        <w:spacing w:before="60" w:after="60"/>
      </w:pPr>
      <w:r>
        <w:rPr>
          <w:sz w:val="22"/>
          <w:szCs w:val="22"/>
        </w:rPr>
        <w:t xml:space="preserve">La molécula puede ser sintetizada, estudiada y desarrollada por cualquier persona u organización sin pagar royalties</w:t>
      </w:r>
    </w:p>
    <w:p>
      <w:pPr>
        <w:pStyle w:val="ListParagraph"/>
        <w:numPr>
          <w:ilvl w:val="0"/>
          <w:numId w:val="2"/>
        </w:numPr>
        <w:spacing w:before="60" w:after="60"/>
      </w:pPr>
      <w:r>
        <w:rPr>
          <w:sz w:val="22"/>
          <w:szCs w:val="22"/>
        </w:rPr>
        <w:t xml:space="preserve">El nombre del descubridor queda grabado permanentemente e irrevocablemente en Solana</w:t>
      </w:r>
    </w:p>
    <w:p>
      <w:pPr>
        <w:pStyle w:val="ListParagraph"/>
        <w:numPr>
          <w:ilvl w:val="0"/>
          <w:numId w:val="2"/>
        </w:numPr>
        <w:spacing w:before="60" w:after="60"/>
      </w:pPr>
      <w:r>
        <w:rPr>
          <w:sz w:val="22"/>
          <w:szCs w:val="22"/>
        </w:rPr>
        <w:t xml:space="preserve">Una empresa farmacéutica puede llevar la molécula a clínica sin barreras de IP</w:t>
      </w:r>
    </w:p>
    <w:p>
      <w:pPr>
        <w:pStyle w:val="ListParagraph"/>
        <w:numPr>
          <w:ilvl w:val="0"/>
          <w:numId w:val="2"/>
        </w:numPr>
        <w:spacing w:before="60" w:after="60"/>
      </w:pPr>
      <w:r>
        <w:rPr>
          <w:sz w:val="22"/>
          <w:szCs w:val="22"/>
        </w:rPr>
        <w:t xml:space="preserve">Los papers y documentos regulatorios citarán al descubridor original</w:t>
      </w:r>
    </w:p>
    <w:p>
      <w:pPr>
        <w:spacing w:before="80" w:after="120"/>
        <w:jc w:val="both"/>
      </w:pPr>
      <w:r>
        <w:rPr>
          <w:sz w:val="22"/>
          <w:szCs w:val="22"/>
        </w:rPr>
        <w:t xml:space="preserve">Este modelo es deliberadamente más ambicioso que el IP-NFT de Molecule/VitaDAO. No buscamos crear un mercado de IP molecular sino acelerar la llegada de nuevos fármacos al paciente eliminando las barreras del “valley of death”.</w:t>
      </w:r>
    </w:p>
    <w:p>
      <w:r>
        <w:br w:type="page"/>
      </w:r>
    </w:p>
    <w:p>
      <w:pPr>
        <w:pStyle w:val="Heading1"/>
        <w:pBdr>
          <w:bottom w:val="single" w:color="2E86C1" w:sz="6" w:space="1"/>
        </w:pBdr>
        <w:spacing w:before="400" w:after="200"/>
      </w:pPr>
      <w:r>
        <w:rPr>
          <w:b/>
          <w:bCs/>
          <w:color w:val="1B4F72"/>
        </w:rPr>
        <w:t xml:space="preserve">2. Pipeline Científico</w:t>
      </w:r>
    </w:p>
    <w:p>
      <w:pPr>
        <w:spacing w:before="80" w:after="120"/>
        <w:jc w:val="both"/>
      </w:pPr>
      <w:r>
        <w:rPr>
          <w:sz w:val="22"/>
          <w:szCs w:val="22"/>
        </w:rPr>
        <w:t xml:space="preserve">El pipeline científico es el núcleo del sistema. Es completamente independiente de la capa de gamificación, blockchain y reportes de IA. Puede ejecutarse en su totalidad desde la línea de comandos sin ninguna interfaz.</w:t>
      </w:r>
    </w:p>
    <w:p>
      <w:pPr>
        <w:pStyle w:val="Heading2"/>
        <w:spacing w:before="300" w:after="160"/>
      </w:pPr>
      <w:r>
        <w:rPr>
          <w:b/>
          <w:bCs/>
          <w:color w:val="2E86C1"/>
        </w:rPr>
        <w:t xml:space="preserve">2.1 Flujo Completo SMILES → Score</w:t>
      </w:r>
    </w:p>
    <w:p>
      <w:pPr>
        <w:spacing w:before="80" w:after="120"/>
        <w:jc w:val="both"/>
      </w:pPr>
      <w:r>
        <w:rPr>
          <w:sz w:val="22"/>
          <w:szCs w:val="22"/>
        </w:rPr>
        <w:t xml:space="preserve">El pipeline ejecuta los siguientes pasos en orden estricto. Cada paso valida su input antes de proceder:</w:t>
      </w:r>
    </w:p>
    <w:p>
      <w:pPr>
        <w:pStyle w:val="ListParagraph"/>
        <w:numPr>
          <w:ilvl w:val="0"/>
          <w:numId w:val="3"/>
        </w:numPr>
        <w:spacing w:before="80" w:after="80"/>
      </w:pPr>
      <w:r>
        <w:rPr>
          <w:sz w:val="22"/>
          <w:szCs w:val="22"/>
        </w:rPr>
        <w:t xml:space="preserve">Validación química (chem/validator.py): El SMILES es parseado por RDKit con sanitización completa. Se verifica valencia, aromaticidad, y compatibilidad con AutoDock Vina. Se genera el SMILES canónico y su hash SHA-256.</w:t>
      </w:r>
    </w:p>
    <w:p>
      <w:pPr>
        <w:pStyle w:val="ListParagraph"/>
        <w:numPr>
          <w:ilvl w:val="0"/>
          <w:numId w:val="3"/>
        </w:numPr>
        <w:spacing w:before="80" w:after="80"/>
      </w:pPr>
      <w:r>
        <w:rPr>
          <w:sz w:val="22"/>
          <w:szCs w:val="22"/>
        </w:rPr>
        <w:t xml:space="preserve">Cálculo de propiedades (chem/properties.py): RDKit calcula MW, logP (Crippen), TPSA (Ertl), HBD/HBA (Lipinski), enlaces rotables y anillos. Se evalúan las reglas de Lipinski y Veber.</w:t>
      </w:r>
    </w:p>
    <w:p>
      <w:pPr>
        <w:pStyle w:val="ListParagraph"/>
        <w:numPr>
          <w:ilvl w:val="0"/>
          <w:numId w:val="3"/>
        </w:numPr>
        <w:spacing w:before="80" w:after="80"/>
      </w:pPr>
      <w:r>
        <w:rPr>
          <w:sz w:val="22"/>
          <w:szCs w:val="22"/>
        </w:rPr>
        <w:t xml:space="preserve">Generación 3D (chem/conformer.py): ETKDG v3 genera la estructura tridimensional. MMFF94 optimiza la geometría. El conformer se guarda como .sdf en MinIO.</w:t>
      </w:r>
    </w:p>
    <w:p>
      <w:pPr>
        <w:pStyle w:val="ListParagraph"/>
        <w:numPr>
          <w:ilvl w:val="0"/>
          <w:numId w:val="3"/>
        </w:numPr>
        <w:spacing w:before="80" w:after="80"/>
      </w:pPr>
      <w:r>
        <w:rPr>
          <w:sz w:val="22"/>
          <w:szCs w:val="22"/>
        </w:rPr>
        <w:t xml:space="preserve">Preparación de proteina (services/docking/preparer.py): La estructura PDB se descarga de RCSB, se protona, se eliminan aguas y se selecciona la cadena activa. El resultado .pdbqt se guarda en MinIO.</w:t>
      </w:r>
    </w:p>
    <w:p>
      <w:pPr>
        <w:pStyle w:val="ListParagraph"/>
        <w:numPr>
          <w:ilvl w:val="0"/>
          <w:numId w:val="3"/>
        </w:numPr>
        <w:spacing w:before="80" w:after="80"/>
      </w:pPr>
      <w:r>
        <w:rPr>
          <w:sz w:val="22"/>
          <w:szCs w:val="22"/>
        </w:rPr>
        <w:t xml:space="preserve">Docking molecular (services/docking/vina_service.py): AutoDock Vina ejecuta el docking con exhaustiveness=8. Se generan hasta 5 poses. La mejor afinidad (kcal/mol) es el score primario.</w:t>
      </w:r>
    </w:p>
    <w:p>
      <w:pPr>
        <w:pStyle w:val="ListParagraph"/>
        <w:numPr>
          <w:ilvl w:val="0"/>
          <w:numId w:val="3"/>
        </w:numPr>
        <w:spacing w:before="80" w:after="80"/>
      </w:pPr>
      <w:r>
        <w:rPr>
          <w:sz w:val="22"/>
          <w:szCs w:val="22"/>
        </w:rPr>
        <w:t xml:space="preserve">Normalización y scoring (scoring/): Cada métrica se convierte a escala 0-100 con funciones específicas por propiedad. El score total se calcula con pesos ponderados configurables.</w:t>
      </w:r>
    </w:p>
    <w:p>
      <w:pPr>
        <w:pStyle w:val="ListParagraph"/>
        <w:numPr>
          <w:ilvl w:val="0"/>
          <w:numId w:val="3"/>
        </w:numPr>
        <w:spacing w:before="80" w:after="80"/>
      </w:pPr>
      <w:r>
        <w:rPr>
          <w:sz w:val="22"/>
          <w:szCs w:val="22"/>
        </w:rPr>
        <w:t xml:space="preserve">Reporte de IA (services/ai/interpreter.py): Claude API recibe el EvaluationResult estructurado y genera un reporte narrativo farmacológico. La IA no calcula nada, solo interpreta.</w:t>
      </w:r>
    </w:p>
    <w:p>
      <w:pPr>
        <w:spacing w:before="0" w:after="0"/>
      </w:pPr>
      <w:r>
        <w:t xml:space="preserve"/>
      </w:r>
    </w:p>
    <w:p>
      <w:pPr>
        <w:pStyle w:val="Heading2"/>
        <w:spacing w:before="300" w:after="160"/>
      </w:pPr>
      <w:r>
        <w:rPr>
          <w:b/>
          <w:bCs/>
          <w:color w:val="2E86C1"/>
        </w:rPr>
        <w:t xml:space="preserve">2.2 Sistema de Scoring</w:t>
      </w:r>
    </w:p>
    <w:p>
      <w:pPr>
        <w:spacing w:before="80" w:after="120"/>
        <w:jc w:val="both"/>
      </w:pPr>
      <w:r>
        <w:rPr>
          <w:sz w:val="22"/>
          <w:szCs w:val="22"/>
        </w:rPr>
        <w:t xml:space="preserve">El score compuesto combina tres dimensiones científicas con pesos configurables en core/config.py: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50"/>
              <w:bottom w:type="dxa" w:w="80"/>
              <w:right w:type="dxa" w:w="150"/>
            </w:tcMar>
          </w:tcPr>
          <w:p>
            <w:r>
              <w:rPr>
                <w:b/>
                <w:bCs/>
                <w:color w:val="FFFFFF"/>
                <w:sz w:val="20"/>
                <w:szCs w:val="20"/>
              </w:rPr>
              <w:t xml:space="preserve">Dimensión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50"/>
              <w:bottom w:type="dxa" w:w="80"/>
              <w:right w:type="dxa" w:w="150"/>
            </w:tcMar>
          </w:tcPr>
          <w:p>
            <w:r>
              <w:rPr>
                <w:b/>
                <w:bCs/>
                <w:color w:val="FFFFFF"/>
                <w:sz w:val="20"/>
                <w:szCs w:val="20"/>
              </w:rPr>
              <w:t xml:space="preserve">Peso</w:t>
            </w:r>
          </w:p>
        </w:tc>
        <w:tc>
          <w:tcPr>
            <w:tcW w:type="dxa" w:w="1800"/>
            <w:tcBorders>
              <w:top w:val="single" w:color="CCCCCC" w:sz="1"/>
              <w:left w:val="single" w:color="CCCCCC" w:sz="1"/>
              <w:bottom w:val="single" w:color="CCCCCC" w:sz="1"/>
              <w:right w:val="single" w:color="CCCCCC" w:sz="1"/>
            </w:tcBorders>
            <w:shd w:fill="1B4F72" w:val="clear"/>
            <w:tcMar>
              <w:top w:type="dxa" w:w="80"/>
              <w:left w:type="dxa" w:w="150"/>
              <w:bottom w:type="dxa" w:w="80"/>
              <w:right w:type="dxa" w:w="150"/>
            </w:tcMar>
          </w:tcPr>
          <w:p>
            <w:r>
              <w:rPr>
                <w:b/>
                <w:bCs/>
                <w:color w:val="FFFFFF"/>
                <w:sz w:val="20"/>
                <w:szCs w:val="20"/>
              </w:rPr>
              <w:t xml:space="preserve">Fuente</w:t>
            </w:r>
          </w:p>
        </w:tc>
        <w:tc>
          <w:tcPr>
            <w:tcW w:type="dxa" w:w="2760"/>
            <w:tcBorders>
              <w:top w:val="single" w:color="CCCCCC" w:sz="1"/>
              <w:left w:val="single" w:color="CCCCCC" w:sz="1"/>
              <w:bottom w:val="single" w:color="CCCCCC" w:sz="1"/>
              <w:right w:val="single" w:color="CCCCCC" w:sz="1"/>
            </w:tcBorders>
            <w:shd w:fill="1B4F72" w:val="clear"/>
            <w:tcMar>
              <w:top w:type="dxa" w:w="80"/>
              <w:left w:type="dxa" w:w="150"/>
              <w:bottom w:type="dxa" w:w="80"/>
              <w:right w:type="dxa" w:w="150"/>
            </w:tcMar>
          </w:tcPr>
          <w:p>
            <w:r>
              <w:rPr>
                <w:b/>
                <w:bCs/>
                <w:color w:val="FFFFFF"/>
                <w:sz w:val="20"/>
                <w:szCs w:val="20"/>
              </w:rPr>
              <w:t xml:space="preserve">Rango crudo</w:t>
            </w:r>
          </w:p>
        </w:tc>
      </w:tr>
      <w:tr>
        <w:tc>
          <w:tcPr>
            <w:tcW w:type="dxa" w:w="3000"/>
            <w:tcBorders>
              <w:top w:val="single" w:color="CCCCCC" w:sz="1"/>
              <w:left w:val="single" w:color="CCCCCC" w:sz="1"/>
              <w:bottom w:val="single" w:color="CCCCCC" w:sz="1"/>
              <w:right w:val="single" w:color="CCCCCC" w:sz="1"/>
            </w:tcBorders>
            <w:shd w:fill="D6EAF8" w:val="clear"/>
            <w:tcMar>
              <w:top w:type="dxa" w:w="60"/>
              <w:left w:type="dxa" w:w="150"/>
              <w:bottom w:type="dxa" w:w="60"/>
              <w:right w:type="dxa" w:w="150"/>
            </w:tcMar>
          </w:tcPr>
          <w:p>
            <w:r>
              <w:rPr>
                <w:sz w:val="20"/>
                <w:szCs w:val="20"/>
              </w:rPr>
              <w:t xml:space="preserve">Afinidad de docking</w:t>
            </w:r>
          </w:p>
        </w:tc>
        <w:tc>
          <w:tcPr>
            <w:tcW w:type="dxa" w:w="1800"/>
            <w:tcBorders>
              <w:top w:val="single" w:color="CCCCCC" w:sz="1"/>
              <w:left w:val="single" w:color="CCCCCC" w:sz="1"/>
              <w:bottom w:val="single" w:color="CCCCCC" w:sz="1"/>
              <w:right w:val="single" w:color="CCCCCC" w:sz="1"/>
            </w:tcBorders>
            <w:shd w:fill="D6EAF8" w:val="clear"/>
            <w:tcMar>
              <w:top w:type="dxa" w:w="60"/>
              <w:left w:type="dxa" w:w="150"/>
              <w:bottom w:type="dxa" w:w="60"/>
              <w:right w:type="dxa" w:w="150"/>
            </w:tcMar>
          </w:tcPr>
          <w:p>
            <w:r>
              <w:rPr>
                <w:b/>
                <w:bCs/>
                <w:sz w:val="20"/>
                <w:szCs w:val="20"/>
              </w:rPr>
              <w:t xml:space="preserve">45%</w:t>
            </w:r>
          </w:p>
        </w:tc>
        <w:tc>
          <w:tcPr>
            <w:tcW w:type="dxa" w:w="1800"/>
            <w:tcBorders>
              <w:top w:val="single" w:color="CCCCCC" w:sz="1"/>
              <w:left w:val="single" w:color="CCCCCC" w:sz="1"/>
              <w:bottom w:val="single" w:color="CCCCCC" w:sz="1"/>
              <w:right w:val="single" w:color="CCCCCC" w:sz="1"/>
            </w:tcBorders>
            <w:shd w:fill="D6EAF8" w:val="clear"/>
            <w:tcMar>
              <w:top w:type="dxa" w:w="60"/>
              <w:left w:type="dxa" w:w="150"/>
              <w:bottom w:type="dxa" w:w="60"/>
              <w:right w:type="dxa" w:w="150"/>
            </w:tcMar>
          </w:tcPr>
          <w:p>
            <w:r>
              <w:rPr>
                <w:rFonts w:ascii="Courier New" w:cs="Courier New" w:eastAsia="Courier New" w:hAnsi="Courier New"/>
                <w:sz w:val="20"/>
                <w:szCs w:val="20"/>
              </w:rPr>
              <w:t xml:space="preserve">AutoDock Vina</w:t>
            </w:r>
          </w:p>
        </w:tc>
        <w:tc>
          <w:tcPr>
            <w:tcW w:type="dxa" w:w="2760"/>
            <w:tcBorders>
              <w:top w:val="single" w:color="CCCCCC" w:sz="1"/>
              <w:left w:val="single" w:color="CCCCCC" w:sz="1"/>
              <w:bottom w:val="single" w:color="CCCCCC" w:sz="1"/>
              <w:right w:val="single" w:color="CCCCCC" w:sz="1"/>
            </w:tcBorders>
            <w:shd w:fill="D6EAF8" w:val="clear"/>
            <w:tcMar>
              <w:top w:type="dxa" w:w="60"/>
              <w:left w:type="dxa" w:w="150"/>
              <w:bottom w:type="dxa" w:w="60"/>
              <w:right w:type="dxa" w:w="150"/>
            </w:tcMar>
          </w:tcPr>
          <w:p>
            <w:r>
              <w:rPr>
                <w:sz w:val="20"/>
                <w:szCs w:val="20"/>
              </w:rPr>
              <w:t xml:space="preserve">-12 a -4 kcal/mol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20"/>
                <w:szCs w:val="20"/>
              </w:rPr>
              <w:t xml:space="preserve">ADME (absorción, distribución, metabolismo, excreción)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b/>
                <w:bCs/>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20"/>
                <w:szCs w:val="20"/>
              </w:rPr>
              <w:t xml:space="preserve">RDKit (logP, TPSA)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20"/>
                <w:szCs w:val="20"/>
              </w:rPr>
              <w:t xml:space="preserve">Compuesto de métricas</w:t>
            </w:r>
          </w:p>
        </w:tc>
      </w:tr>
      <w:tr>
        <w:tc>
          <w:tcPr>
            <w:tcW w:type="dxa" w:w="3000"/>
            <w:tcBorders>
              <w:top w:val="single" w:color="CCCCCC" w:sz="1"/>
              <w:left w:val="single" w:color="CCCCCC" w:sz="1"/>
              <w:bottom w:val="single" w:color="CCCCCC" w:sz="1"/>
              <w:right w:val="single" w:color="CCCCCC" w:sz="1"/>
            </w:tcBorders>
            <w:shd w:fill="D6EAF8" w:val="clear"/>
            <w:tcMar>
              <w:top w:type="dxa" w:w="60"/>
              <w:left w:type="dxa" w:w="150"/>
              <w:bottom w:type="dxa" w:w="60"/>
              <w:right w:type="dxa" w:w="150"/>
            </w:tcMar>
          </w:tcPr>
          <w:p>
            <w:r>
              <w:rPr>
                <w:sz w:val="20"/>
                <w:szCs w:val="20"/>
              </w:rPr>
              <w:t xml:space="preserve">Drug-likeness</w:t>
            </w:r>
          </w:p>
        </w:tc>
        <w:tc>
          <w:tcPr>
            <w:tcW w:type="dxa" w:w="1800"/>
            <w:tcBorders>
              <w:top w:val="single" w:color="CCCCCC" w:sz="1"/>
              <w:left w:val="single" w:color="CCCCCC" w:sz="1"/>
              <w:bottom w:val="single" w:color="CCCCCC" w:sz="1"/>
              <w:right w:val="single" w:color="CCCCCC" w:sz="1"/>
            </w:tcBorders>
            <w:shd w:fill="D6EAF8" w:val="clear"/>
            <w:tcMar>
              <w:top w:type="dxa" w:w="60"/>
              <w:left w:type="dxa" w:w="150"/>
              <w:bottom w:type="dxa" w:w="60"/>
              <w:right w:type="dxa" w:w="150"/>
            </w:tcMar>
          </w:tcPr>
          <w:p>
            <w:r>
              <w:rPr>
                <w:b/>
                <w:bCs/>
                <w:sz w:val="20"/>
                <w:szCs w:val="20"/>
              </w:rPr>
              <w:t xml:space="preserve">25%</w:t>
            </w:r>
          </w:p>
        </w:tc>
        <w:tc>
          <w:tcPr>
            <w:tcW w:type="dxa" w:w="1800"/>
            <w:tcBorders>
              <w:top w:val="single" w:color="CCCCCC" w:sz="1"/>
              <w:left w:val="single" w:color="CCCCCC" w:sz="1"/>
              <w:bottom w:val="single" w:color="CCCCCC" w:sz="1"/>
              <w:right w:val="single" w:color="CCCCCC" w:sz="1"/>
            </w:tcBorders>
            <w:shd w:fill="D6EAF8" w:val="clear"/>
            <w:tcMar>
              <w:top w:type="dxa" w:w="60"/>
              <w:left w:type="dxa" w:w="150"/>
              <w:bottom w:type="dxa" w:w="60"/>
              <w:right w:type="dxa" w:w="150"/>
            </w:tcMar>
          </w:tcPr>
          <w:p>
            <w:r>
              <w:rPr>
                <w:rFonts w:ascii="Courier New" w:cs="Courier New" w:eastAsia="Courier New" w:hAnsi="Courier New"/>
                <w:sz w:val="20"/>
                <w:szCs w:val="20"/>
              </w:rPr>
              <w:t xml:space="preserve">RDKit (Lipinski, Veber)</w:t>
            </w:r>
          </w:p>
        </w:tc>
        <w:tc>
          <w:tcPr>
            <w:tcW w:type="dxa" w:w="2760"/>
            <w:tcBorders>
              <w:top w:val="single" w:color="CCCCCC" w:sz="1"/>
              <w:left w:val="single" w:color="CCCCCC" w:sz="1"/>
              <w:bottom w:val="single" w:color="CCCCCC" w:sz="1"/>
              <w:right w:val="single" w:color="CCCCCC" w:sz="1"/>
            </w:tcBorders>
            <w:shd w:fill="D6EAF8" w:val="clear"/>
            <w:tcMar>
              <w:top w:type="dxa" w:w="60"/>
              <w:left w:type="dxa" w:w="150"/>
              <w:bottom w:type="dxa" w:w="60"/>
              <w:right w:type="dxa" w:w="150"/>
            </w:tcMar>
          </w:tcPr>
          <w:p>
            <w:r>
              <w:rPr>
                <w:sz w:val="20"/>
                <w:szCs w:val="20"/>
              </w:rPr>
              <w:t xml:space="preserve">0-4 violaciones</w:t>
            </w:r>
          </w:p>
        </w:tc>
      </w:tr>
    </w:tbl>
    <w:p>
      <w:pPr>
        <w:spacing w:before="0" w:after="0"/>
      </w:pPr>
      <w:r>
        <w:t xml:space="preserve"/>
      </w:r>
    </w:p>
    <w:p>
      <w:pPr>
        <w:spacing w:before="80" w:after="120"/>
        <w:jc w:val="both"/>
      </w:pPr>
      <w:r>
        <w:rPr>
          <w:sz w:val="22"/>
          <w:szCs w:val="22"/>
        </w:rPr>
        <w:t xml:space="preserve">La normalización convierte cada métrica a escala 0-100 antes de combinarlas. Sin normalización, la afinidad en kcal/mol dominaría el score por diferencia de magnitud. Las funciones de normalización son específicas por propiedad: la afinidad usa una función lineal inversa (más negativo = mejor), el logP usa una función de distancia al valor óptimo (2.5), y el drug-likeness usa penalización por violaciones.</w:t>
      </w:r>
    </w:p>
    <w:p>
      <w:r>
        <w:br w:type="page"/>
      </w:r>
    </w:p>
    <w:p>
      <w:pPr>
        <w:pStyle w:val="Heading1"/>
        <w:pBdr>
          <w:bottom w:val="single" w:color="2E86C1" w:sz="6" w:space="1"/>
        </w:pBdr>
        <w:spacing w:before="400" w:after="200"/>
      </w:pPr>
      <w:r>
        <w:rPr>
          <w:b/>
          <w:bCs/>
          <w:color w:val="1B4F72"/>
        </w:rPr>
        <w:t xml:space="preserve">3. Arquitectura del Sistema</w:t>
      </w:r>
    </w:p>
    <w:p>
      <w:pPr>
        <w:pStyle w:val="Heading2"/>
        <w:spacing w:before="300" w:after="160"/>
      </w:pPr>
      <w:r>
        <w:rPr>
          <w:b/>
          <w:bCs/>
          <w:color w:val="2E86C1"/>
        </w:rPr>
        <w:t xml:space="preserve">3.1 Principios de Arquitectura</w:t>
      </w:r>
    </w:p>
    <w:p>
      <w:pPr>
        <w:spacing w:before="80" w:after="120"/>
        <w:jc w:val="both"/>
      </w:pPr>
      <w:r>
        <w:rPr>
          <w:sz w:val="22"/>
          <w:szCs w:val="22"/>
        </w:rPr>
        <w:t xml:space="preserve">El sistema sigue el principio de separación estricta de responsabilidades. Cada servicio tiene un dominio claro y se comunica con los demás a través de contratos de datos bien definidos (Pydantic models en core/models.py).</w:t>
      </w:r>
    </w:p>
    <w:p>
      <w:pPr>
        <w:spacing w:before="80" w:after="120"/>
        <w:jc w:val="both"/>
      </w:pPr>
      <w:r>
        <w:rPr>
          <w:sz w:val="22"/>
          <w:szCs w:val="22"/>
        </w:rPr>
        <w:t xml:space="preserve">Regla fundamental: el pipeline científico nunca sabe que existe blockchain, gamificación ni IA. Solana no sabe cómo funciona RDKit. Claude API no calcula química. Cada capa solo conoce la capa inmediatamente anterior.</w:t>
      </w:r>
    </w:p>
    <w:p>
      <w:pPr>
        <w:pStyle w:val="Heading2"/>
        <w:spacing w:before="300" w:after="160"/>
      </w:pPr>
      <w:r>
        <w:rPr>
          <w:b/>
          <w:bCs/>
          <w:color w:val="2E86C1"/>
        </w:rPr>
        <w:t xml:space="preserve">3.2 Stack Tecnológico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b/>
                <w:bCs/>
                <w:color w:val="FFFFFF"/>
                <w:sz w:val="20"/>
                <w:szCs w:val="20"/>
              </w:rPr>
              <w:t xml:space="preserve">Tecnología</w:t>
            </w:r>
          </w:p>
        </w:tc>
        <w:tc>
          <w:tcPr>
            <w:tcW w:type="dxa" w:w="65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b/>
                <w:bCs/>
                <w:color w:val="FFFFFF"/>
                <w:sz w:val="20"/>
                <w:szCs w:val="20"/>
              </w:rPr>
              <w:t xml:space="preserve">Por qué esta decisión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Python 3.11</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Lenguaje principal del backend. RDKit, AutoDock Vina bindings y Claude SDK son todos Python-native. Unificar el stack evita serialización entre lenguajes y simplifica el deploy.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sz w:val="20"/>
                <w:szCs w:val="20"/>
              </w:rPr>
              <w:t xml:space="preserve">FastAPI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Framework async de alto rendimiento. Soporte nativo de Pydantic v2 para validación automática. Generación automática de OpenAPI docs. Manejo de concurrencia con asyncio para no bloquear durante docking.</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RDKit 2023.09</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Biblioteca estándar de la industria para química computacional. Usada por Pfizer, Novartis, Roche en producción. ETKDG para generación 3D, Crippen para logP, Ertl para TPSA. No existe alternativa open source equivalente.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sz w:val="20"/>
                <w:szCs w:val="20"/>
              </w:rPr>
              <w:t xml:space="preserve">AutoDock Vina 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Software de docking más citado en la literatura científica (&gt;10,000 citas). Algoritmo de Monte Carlo Iterated Local Search. Precisión validada experimentalmente. Alternativas (Glide, Gold) son propietarias y cuestan &gt;$50,000/año.</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PostgreSQL 16 + RDKit ext.</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Base de datos relacional con extensión química que permite búsquedas de subestructura directamente en SQL. Esencial para cuando el catálogo de moléculas crezca a miles de entradas.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sz w:val="20"/>
                <w:szCs w:val="20"/>
              </w:rPr>
              <w:t xml:space="preserve">Redis 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Doble función: cache de resultados de docking (TTL 24h) y cola de tareas Celery. Una molécula ya evaluada no vuelve a pasar por Vina. Ahorra 30-90 segundos por request repetido.</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Celery 5.3</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Worker asíncrono para jobs de docking. El docking tarda 30-90 segundos, incompatible con HTTP síncrono. Celery desacopla el tiempo de cómputo del tiempo de respuesta HTTP.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sz w:val="20"/>
                <w:szCs w:val="20"/>
              </w:rPr>
              <w:t xml:space="preserve">MinIO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Almacenamiento S3-compatible auto-hospedado para archivos .pdb, .pdbqt y .sdf. En cloud (Railway), el filesystem es efímero. MinIO persiste los archivos independientemente del ciclo de vida del contenedor.</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Next.js 14 (App Router)</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Framework React con Server-Side Rendering. Integración natural con Ketcher y Mol* (ambos tienen componentes React). Deploy automático en Vercel desde GitHub.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sz w:val="20"/>
                <w:szCs w:val="20"/>
              </w:rPr>
              <w:t xml:space="preserve">Ketcher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Editor molecular 2D open source de EPAM. Genera SMILES directamente. Es el editor que usa ChemDraw online y varias plataformas farmacéuticas. La única alternativa viable de calidad similar es MarvinJS (propietario, $15,000/año).</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Mol*</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Visor 3D de estructuras moleculares desarrollado por el RCSB PDB y PDBe. Es el visor oficial del Protein Data Bank. Renderiza poses de docking, interacciones proteina-ligando y superficies moleculares con calidad publicación.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sz w:val="20"/>
                <w:szCs w:val="20"/>
              </w:rPr>
              <w:t xml:space="preserve">Claude API (Sonnet)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Generación de reportes narrativos farmacológicos. Claude recibe el EvaluationResult estructurado y lo convierte en texto científico accesible. Ventaja sobre GPT-4: mejor adherencia a instrucciones complejas y menor alucinación en domónios especializados.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Solana (Fase 4)</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Blockchain de alta velocidad (65,000 TPS) y bajo costo (&lt;$0.001 por transacción). Ideal para registrar hashes de moléculas. Ethereum sería 100x más caro por transacción. El registro CC0 garantiza dominio público universal.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sz w:val="20"/>
                <w:szCs w:val="20"/>
              </w:rPr>
              <w:t xml:space="preserve">Railway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Plataforma cloud que soporta Docker Compose directamente. El docker-compose.yml de desarrollo funciona en producción sin modificaciones. PostgreSQL y Redis se provisionen como plugins con inyección automática de DATABASE_URL y REDIS_URL.</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Vercel</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CDN global para el frontend Next.js. Deploy automático desde GitHub en cada push. SSL automático. Tier gratuito suficiente para el MVP con bandwidth ilimitado en proyectos personales.</w:t>
            </w:r>
          </w:p>
        </w:tc>
      </w:tr>
    </w:tbl>
    <w:p>
      <w:r>
        <w:br w:type="page"/>
      </w:r>
    </w:p>
    <w:p>
      <w:pPr>
        <w:pStyle w:val="Heading2"/>
        <w:spacing w:before="300" w:after="160"/>
      </w:pPr>
      <w:r>
        <w:rPr>
          <w:b/>
          <w:bCs/>
          <w:color w:val="2E86C1"/>
        </w:rPr>
        <w:t xml:space="preserve">3.3 Estructura de Microservicios</w:t>
      </w:r>
    </w:p>
    <w:p>
      <w:pPr>
        <w:spacing w:before="80" w:after="120"/>
        <w:jc w:val="both"/>
      </w:pPr>
      <w:r>
        <w:rPr>
          <w:sz w:val="22"/>
          <w:szCs w:val="22"/>
        </w:rPr>
        <w:t xml:space="preserve">El sistema está organizado en microservicios con responsabilidades claras. En desarrollo, todos corren en el mismo proceso Docker. En producción, pueden escalarse independientemente según la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b/>
                <w:bCs/>
                <w:color w:val="FFFFFF"/>
                <w:sz w:val="20"/>
                <w:szCs w:val="20"/>
              </w:rPr>
              <w:t xml:space="preserve">Tecnología</w:t>
            </w:r>
          </w:p>
        </w:tc>
        <w:tc>
          <w:tcPr>
            <w:tcW w:type="dxa" w:w="65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b/>
                <w:bCs/>
                <w:color w:val="FFFFFF"/>
                <w:sz w:val="20"/>
                <w:szCs w:val="20"/>
              </w:rPr>
              <w:t xml:space="preserve">Por qué esta decisión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Servicio químico</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Validación de SMILES, cálculo de propiedades, generación de conformers 3D. Expuesto como /chem/* en el API. No tiene estado propio — cada request es independiente.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sz w:val="20"/>
                <w:szCs w:val="20"/>
              </w:rPr>
              <w:t xml:space="preserve">Servicio de docking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Preparación de proteína, ejecución de Vina, parseo de resultados. Corre como task de Celery porque tarda 30-90 segundos. El API devuelve un task_id inmediatamente y el frontend hace polling.</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Servicio de scoring</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Normalización de métricas y cálculo del score compuesto. Corre sincrónicamente después del docking dentro del mismo task Celery. Persiste resultados en 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sz w:val="20"/>
                <w:szCs w:val="20"/>
              </w:rPr>
              <w:t xml:space="preserve">Servicio de 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Llama a Claude API con el EvaluationResult y retorna el reporte narrativo. Es el único servicio que puede fallar silenciosamente — si Claude no está disponible, el sistema retorna EvaluationResult con ai_report=None sin error.</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Servicio blockchain</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Genera el hash SHA-256 del descubrimiento y lo registra en Solana. Completamente opcional — el usuario activa este paso voluntariamente. No afecta ni conoce el pipeline científico.</w:t>
            </w:r>
          </w:p>
        </w:tc>
      </w:tr>
    </w:tbl>
    <w:p>
      <w:r>
        <w:br w:type="page"/>
      </w:r>
    </w:p>
    <w:p>
      <w:pPr>
        <w:pStyle w:val="Heading1"/>
        <w:pBdr>
          <w:bottom w:val="single" w:color="2E86C1" w:sz="6" w:space="1"/>
        </w:pBdr>
        <w:spacing w:before="400" w:after="200"/>
      </w:pPr>
      <w:r>
        <w:rPr>
          <w:b/>
          <w:bCs/>
          <w:color w:val="1B4F72"/>
        </w:rPr>
        <w:t xml:space="preserve">4. Estructura de Archivos y Orden de Creación</w:t>
      </w:r>
    </w:p>
    <w:p>
      <w:pPr>
        <w:spacing w:before="80" w:after="120"/>
        <w:jc w:val="both"/>
      </w:pPr>
      <w:r>
        <w:rPr>
          <w:sz w:val="22"/>
          <w:szCs w:val="22"/>
        </w:rPr>
        <w:t xml:space="preserve">Los archivos se crean en orden de dependencias: primero los módulos que más cosas importan, últimos los que más cosas dependen de ellos. El principio: si el archivo A importa a B, B debe existir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D8348" w:val="clear"/>
            <w:tcMar>
              <w:top w:type="dxa" w:w="80"/>
              <w:left w:type="dxa" w:w="150"/>
              <w:bottom w:type="dxa" w:w="80"/>
              <w:right w:type="dxa" w:w="150"/>
            </w:tcMar>
          </w:tcPr>
          <w:p>
            <w:r>
              <w:rPr>
                <w:b/>
                <w:bCs/>
                <w:color w:val="FFFFFF"/>
                <w:sz w:val="20"/>
                <w:szCs w:val="20"/>
              </w:rPr>
              <w:t xml:space="preserve">Archivo</w:t>
            </w:r>
          </w:p>
        </w:tc>
        <w:tc>
          <w:tcPr>
            <w:tcW w:type="dxa" w:w="1400"/>
            <w:tcBorders>
              <w:top w:val="single" w:color="CCCCCC" w:sz="1"/>
              <w:left w:val="single" w:color="CCCCCC" w:sz="1"/>
              <w:bottom w:val="single" w:color="CCCCCC" w:sz="1"/>
              <w:right w:val="single" w:color="CCCCCC" w:sz="1"/>
            </w:tcBorders>
            <w:shd w:fill="1D8348" w:val="clear"/>
            <w:tcMar>
              <w:top w:type="dxa" w:w="80"/>
              <w:left w:type="dxa" w:w="150"/>
              <w:bottom w:type="dxa" w:w="80"/>
              <w:right w:type="dxa" w:w="150"/>
            </w:tcMar>
          </w:tcPr>
          <w:p>
            <w:r>
              <w:rPr>
                <w:b/>
                <w:bCs/>
                <w:color w:val="FFFFFF"/>
                <w:sz w:val="20"/>
                <w:szCs w:val="20"/>
              </w:rPr>
              <w:t xml:space="preserve">Fase</w:t>
            </w:r>
          </w:p>
        </w:tc>
        <w:tc>
          <w:tcPr>
            <w:tcW w:type="dxa" w:w="4760"/>
            <w:tcBorders>
              <w:top w:val="single" w:color="CCCCCC" w:sz="1"/>
              <w:left w:val="single" w:color="CCCCCC" w:sz="1"/>
              <w:bottom w:val="single" w:color="CCCCCC" w:sz="1"/>
              <w:right w:val="single" w:color="CCCCCC" w:sz="1"/>
            </w:tcBorders>
            <w:shd w:fill="1D8348" w:val="clear"/>
            <w:tcMar>
              <w:top w:type="dxa" w:w="80"/>
              <w:left w:type="dxa" w:w="150"/>
              <w:bottom w:type="dxa" w:w="80"/>
              <w:right w:type="dxa" w:w="150"/>
            </w:tcMar>
          </w:tcPr>
          <w:p>
            <w:r>
              <w:rPr>
                <w:b/>
                <w:bCs/>
                <w:color w:val="FFFFFF"/>
                <w:sz w:val="20"/>
                <w:szCs w:val="20"/>
              </w:rPr>
              <w:t xml:space="preserve">Responsabilidad</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core/config.py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0</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Variables de entorno con Pydantic Settings. Singleton con @lru_cache. Lee .env una sola vez por proceso.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utils/logger.py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Logging estructurado JSON con structlog. Contexto ligado por request. Procesador de campos sensibles.</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core/models.py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0</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ORM models (SQLAlchemy) y Pydantic schemas. Contrato de datos de todo el sistema.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core/database.py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Engine async PostgreSQL, session factory, dependency de FastAPI, health check.</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core/exceptions.py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0</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Jerarquía completa de excepciones con http_code por clase. Handler centralizado en main.py.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utils/cache.py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Wrapper Redis con CacheKey centralizado, degradación limpia, rate limiting, pub/sub de progreso.</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utils/file_handlers.py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0</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CRUD de archivos .pdb/.sdf en MinIO. Descarga desde RCSB. Context managers para archivos temporales de Vina.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tests/conftest.py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Fixtures pytest: DB con SAVEPOINT, cliente HTTP, mocks de Redis/MinIO/Vina/Claude, datos de referencia.</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chem/validator.py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1</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Validación SMILES con RDKit. Pipeline de 6 pasos. SMILES canónico + hash SHA-256.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chem/properties.py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MW, logP, TPSA, HBD/HBA, RotBonds. Reglas Lipinski y Veber. Resumen ADME para Claude.</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chem/conformer.py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1</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ETKDG v3 + MMFF94. Reintentos con semillas distintas. Detección de macrociclos.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tests/unit/test_validator.py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Tests unitarios del validador con moléculas de referencia y casos de error conocidos.</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tests/unit/test_properties.py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1</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Verifica valores de aspirina y cafeína contra literatura. Tolerancias ±0.2 para logP.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chem/router.py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FastAPI router: POST /validate, /properties, /conformer. Expone el servicio químico.</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db/migrations/001_initial.sql</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2</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Tablas: molecules, targets, evaluation_results, users. Extensión RDKit en PostgreSQL.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db/repository.py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CRUD async SQLAlchemy. Detección de duplicados por smiles_hash. Árbol de modificaciones por parent_id.</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services/docking/preparer.py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2</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Preparación de proteína PDB para Vina: protonación, eliminación de aguas, conversión a .pdbqt.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services/docking/vina_service.py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Ejecución de Vina como subprocess. Cache de poses. Parseo del output SDF.</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services/docking/queue_handler.py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2</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Tasks Celery para docking async. Publicación de progreso en Redis. Polling endpoint.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scoring/normalizer.py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Funciones de normalización por métrica. Escala 0-100 con funciones específicas por propiedad.</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scoring/engine.py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2</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Score compuesto con pesos ponderados. ScoreBreakdown con improvement_hint. Persiste en DB.</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tests/unit/test_scoring.py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Verifica normalización y pesos. El test más importante: si el score está mal, el juego no tiene sentido.</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tests/integration/test_chem_flow.py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2</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Flujo completo SMILES → validación → propiedades → conformer → score con DB real.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services/ai/interpreter.py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Claude API con EvaluationResult estructurado. Degradación limpia si Claude no está disponible.</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api/middleware.py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3</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CORS, JWT, rate limiting, logging de requests con bind_context.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tests/integration/test_api_endpoints.py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Tests HTTP con cliente async. Autenticación JWT. Flujo completo incluyendo polling de docking.</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api/main.py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3</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Entrypoint FastAPI. Lifespan: setup_logging, create_tables, health checks. Registra todos los routers.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services/blockchain/solana_client.py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Conexión a Solana. Hash SHA-256 del discovery payload. Envío de transacción.</w:t>
            </w:r>
          </w:p>
        </w:tc>
      </w:tr>
      <w:tr>
        <w:tc>
          <w:tcPr>
            <w:tcW w:type="dxa" w:w="32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rFonts w:ascii="Courier New" w:cs="Courier New" w:eastAsia="Courier New" w:hAnsi="Courier New"/>
                <w:sz w:val="18"/>
                <w:szCs w:val="18"/>
              </w:rPr>
              <w:t xml:space="preserve">services/blockchain/desci_registry.py</w:t>
            </w:r>
          </w:p>
        </w:tc>
        <w:tc>
          <w:tcPr>
            <w:tcW w:type="dxa" w:w="140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Fase 4</w:t>
            </w:r>
          </w:p>
        </w:tc>
        <w:tc>
          <w:tcPr>
            <w:tcW w:type="dxa" w:w="476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18"/>
                <w:szCs w:val="18"/>
              </w:rPr>
              <w:t xml:space="preserve">Construye el Certificate of Scientific Contribution con licencia CC0. Registra en Solana.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ourier New" w:cs="Courier New" w:eastAsia="Courier New" w:hAnsi="Courier New"/>
                <w:sz w:val="18"/>
                <w:szCs w:val="18"/>
              </w:rPr>
              <w:t xml:space="preserve">api/routers/blockchain.py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Fase 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18"/>
                <w:szCs w:val="18"/>
              </w:rPr>
              <w:t xml:space="preserve">POST /molecules/{id}/certify. Voluntario. No afecta el pipeline científico.</w:t>
            </w:r>
          </w:p>
        </w:tc>
      </w:tr>
    </w:tbl>
    <w:p>
      <w:r>
        <w:br w:type="page"/>
      </w:r>
    </w:p>
    <w:p>
      <w:pPr>
        <w:pStyle w:val="Heading1"/>
        <w:pBdr>
          <w:bottom w:val="single" w:color="2E86C1" w:sz="6" w:space="1"/>
        </w:pBdr>
        <w:spacing w:before="400" w:after="200"/>
      </w:pPr>
      <w:r>
        <w:rPr>
          <w:b/>
          <w:bCs/>
          <w:color w:val="1B4F72"/>
        </w:rPr>
        <w:t xml:space="preserve">5. Decisiones Técnicas Clave y Por Qué</w:t>
      </w:r>
    </w:p>
    <w:p>
      <w:pPr>
        <w:pStyle w:val="Heading2"/>
        <w:spacing w:before="300" w:after="160"/>
      </w:pPr>
      <w:r>
        <w:rPr>
          <w:b/>
          <w:bCs/>
          <w:color w:val="2E86C1"/>
        </w:rPr>
        <w:t xml:space="preserve">5.1 Por qué el Docking es Asíncrono</w:t>
      </w:r>
    </w:p>
    <w:p>
      <w:pPr>
        <w:spacing w:before="80" w:after="120"/>
        <w:jc w:val="both"/>
      </w:pPr>
      <w:r>
        <w:rPr>
          <w:sz w:val="22"/>
          <w:szCs w:val="22"/>
        </w:rPr>
        <w:t xml:space="preserve">AutoDock Vina tarda entre 30 y 90 segundos por cálculo según el tamaño de la molécula y la exhaustiveness configurada. Este tiempo es incompatible con el modelo HTTP request-response estándar (timeout de 30 segundos en la mayoría de proxies y balanceadores).</w:t>
      </w:r>
    </w:p>
    <w:p>
      <w:pPr>
        <w:spacing w:before="80" w:after="120"/>
        <w:jc w:val="both"/>
      </w:pPr>
      <w:r>
        <w:rPr>
          <w:sz w:val="22"/>
          <w:szCs w:val="22"/>
        </w:rPr>
        <w:t xml:space="preserve">La solución es el patrón job queue con polling:</w:t>
      </w:r>
    </w:p>
    <w:p>
      <w:pPr>
        <w:pStyle w:val="ListParagraph"/>
        <w:numPr>
          <w:ilvl w:val="0"/>
          <w:numId w:val="2"/>
        </w:numPr>
        <w:spacing w:before="60" w:after="60"/>
      </w:pPr>
      <w:r>
        <w:rPr>
          <w:sz w:val="22"/>
          <w:szCs w:val="22"/>
        </w:rPr>
        <w:t xml:space="preserve">El usuario envía su molécula → FastAPI la valida y retorna un task_id en &lt; 100ms</w:t>
      </w:r>
    </w:p>
    <w:p>
      <w:pPr>
        <w:pStyle w:val="ListParagraph"/>
        <w:numPr>
          <w:ilvl w:val="0"/>
          <w:numId w:val="2"/>
        </w:numPr>
        <w:spacing w:before="60" w:after="60"/>
      </w:pPr>
      <w:r>
        <w:rPr>
          <w:sz w:val="22"/>
          <w:szCs w:val="22"/>
        </w:rPr>
        <w:t xml:space="preserve">Celery ejecuta el docking en background → publica progreso en Redis cada 10 segundos</w:t>
      </w:r>
    </w:p>
    <w:p>
      <w:pPr>
        <w:pStyle w:val="ListParagraph"/>
        <w:numPr>
          <w:ilvl w:val="0"/>
          <w:numId w:val="2"/>
        </w:numPr>
        <w:spacing w:before="60" w:after="60"/>
      </w:pPr>
      <w:r>
        <w:rPr>
          <w:sz w:val="22"/>
          <w:szCs w:val="22"/>
        </w:rPr>
        <w:t xml:space="preserve">El frontend hace polling a GET /docking/status/{task_id} → muestra barra de progreso</w:t>
      </w:r>
    </w:p>
    <w:p>
      <w:pPr>
        <w:pStyle w:val="ListParagraph"/>
        <w:numPr>
          <w:ilvl w:val="0"/>
          <w:numId w:val="2"/>
        </w:numPr>
        <w:spacing w:before="60" w:after="60"/>
      </w:pPr>
      <w:r>
        <w:rPr>
          <w:sz w:val="22"/>
          <w:szCs w:val="22"/>
        </w:rPr>
        <w:t xml:space="preserve">Cuando termina, el frontend recibe el EvaluationResult completo</w:t>
      </w:r>
    </w:p>
    <w:p>
      <w:pPr>
        <w:spacing w:before="80" w:after="120"/>
        <w:jc w:val="both"/>
      </w:pPr>
      <w:r>
        <w:rPr>
          <w:sz w:val="22"/>
          <w:szCs w:val="22"/>
        </w:rPr>
        <w:t xml:space="preserve">El cache de Redis (TTL 24h) garantiza que la misma molécula contra el mismo target no se vuelva a dockar si ya existe un resultado. El hash SHA-256 del SMILES canónico es la llave del cache.</w:t>
      </w:r>
    </w:p>
    <w:p>
      <w:pPr>
        <w:pStyle w:val="Heading2"/>
        <w:spacing w:before="300" w:after="160"/>
      </w:pPr>
      <w:r>
        <w:rPr>
          <w:b/>
          <w:bCs/>
          <w:color w:val="2E86C1"/>
        </w:rPr>
        <w:t xml:space="preserve">5.2 Por qué el Patrón SAVEPOINT en los Tests</w:t>
      </w:r>
    </w:p>
    <w:p>
      <w:pPr>
        <w:spacing w:before="80" w:after="120"/>
        <w:jc w:val="both"/>
      </w:pPr>
      <w:r>
        <w:rPr>
          <w:sz w:val="22"/>
          <w:szCs w:val="22"/>
        </w:rPr>
        <w:t xml:space="preserve">La alternativa más simple para tests de base de datos es recrear todas las tablas antes de cada test. Esto tarda entre 300ms y 1 segundo por test según la complejidad del schema. Con 100 tests, eso son 30-100 segundos solo en setup.</w:t>
      </w:r>
    </w:p>
    <w:p>
      <w:pPr>
        <w:spacing w:before="80" w:after="120"/>
        <w:jc w:val="both"/>
      </w:pPr>
      <w:r>
        <w:rPr>
          <w:sz w:val="22"/>
          <w:szCs w:val="22"/>
        </w:rPr>
        <w:t xml:space="preserve">El patrón SAVEPOINT ejecuta cada test dentro de una transacción anidada que nunca se commitea. Al terminar el test, el SAVEPOINT hace rollback y la base de datos queda exactamente como estaba. El costo es ~5ms por test. La suite completa corre en &lt; 10 segundos.</w:t>
      </w:r>
    </w:p>
    <w:p>
      <w:pPr>
        <w:pStyle w:val="Heading2"/>
        <w:spacing w:before="300" w:after="160"/>
      </w:pPr>
      <w:r>
        <w:rPr>
          <w:b/>
          <w:bCs/>
          <w:color w:val="2E86C1"/>
        </w:rPr>
        <w:t xml:space="preserve">5.3 Por qué Dos Funciones de Validación</w:t>
      </w:r>
    </w:p>
    <w:p>
      <w:pPr>
        <w:spacing w:before="80" w:after="120"/>
        <w:jc w:val="both"/>
      </w:pPr>
      <w:r>
        <w:rPr>
          <w:sz w:val="22"/>
          <w:szCs w:val="22"/>
        </w:rPr>
        <w:t xml:space="preserve">validate_smiles() nunca lanza excepción — siempre retorna un ValidationResult. validate_smiles_or_raise() lanza InvalidSMILES si hay error. Esta separación existe porque los callers tienen necesidades distintas:</w:t>
      </w:r>
    </w:p>
    <w:p>
      <w:pPr>
        <w:pStyle w:val="ListParagraph"/>
        <w:numPr>
          <w:ilvl w:val="0"/>
          <w:numId w:val="2"/>
        </w:numPr>
        <w:spacing w:before="60" w:after="60"/>
      </w:pPr>
      <w:r>
        <w:rPr>
          <w:sz w:val="22"/>
          <w:szCs w:val="22"/>
        </w:rPr>
        <w:t xml:space="preserve">Los routers de FastAPI quieren cortar el flujo inmediatamente con HTTP 422 → usan validate_smiles_or_raise()</w:t>
      </w:r>
    </w:p>
    <w:p>
      <w:pPr>
        <w:pStyle w:val="ListParagraph"/>
        <w:numPr>
          <w:ilvl w:val="0"/>
          <w:numId w:val="2"/>
        </w:numPr>
        <w:spacing w:before="60" w:after="60"/>
      </w:pPr>
      <w:r>
        <w:rPr>
          <w:sz w:val="22"/>
          <w:szCs w:val="22"/>
        </w:rPr>
        <w:t xml:space="preserve">El scoring engine quiere toda la información de validación para generar hints → usa validate_smiles()</w:t>
      </w:r>
    </w:p>
    <w:p>
      <w:pPr>
        <w:pStyle w:val="ListParagraph"/>
        <w:numPr>
          <w:ilvl w:val="0"/>
          <w:numId w:val="2"/>
        </w:numPr>
        <w:spacing w:before="60" w:after="60"/>
      </w:pPr>
      <w:r>
        <w:rPr>
          <w:sz w:val="22"/>
          <w:szCs w:val="22"/>
        </w:rPr>
        <w:t xml:space="preserve">Los tests quieren verificar casos de error específicos → usan validate_smiles() y examinan el resultado</w:t>
      </w:r>
    </w:p>
    <w:p>
      <w:pPr>
        <w:pStyle w:val="Heading2"/>
        <w:spacing w:before="300" w:after="160"/>
      </w:pPr>
      <w:r>
        <w:rPr>
          <w:b/>
          <w:bCs/>
          <w:color w:val="2E86C1"/>
        </w:rPr>
        <w:t xml:space="preserve">5.4 Por qué Canonicalizar el SMILES</w:t>
      </w:r>
    </w:p>
    <w:p>
      <w:pPr>
        <w:spacing w:before="80" w:after="120"/>
        <w:jc w:val="both"/>
      </w:pPr>
      <w:r>
        <w:rPr>
          <w:sz w:val="22"/>
          <w:szCs w:val="22"/>
        </w:rPr>
        <w:t xml:space="preserve">El SMILES 'CCO', 'OCC' y 'C(C)O' representan el mismo etanol pero son strings distintos. Sin canonicalización, el sistema los trataría como tres moléculas diferentes:</w:t>
      </w:r>
    </w:p>
    <w:p>
      <w:pPr>
        <w:pStyle w:val="ListParagraph"/>
        <w:numPr>
          <w:ilvl w:val="0"/>
          <w:numId w:val="2"/>
        </w:numPr>
        <w:spacing w:before="60" w:after="60"/>
      </w:pPr>
      <w:r>
        <w:rPr>
          <w:sz w:val="22"/>
          <w:szCs w:val="22"/>
        </w:rPr>
        <w:t xml:space="preserve">El cache de Redis nunca daría hit aunque la molécula ya fuera evaluada</w:t>
      </w:r>
    </w:p>
    <w:p>
      <w:pPr>
        <w:pStyle w:val="ListParagraph"/>
        <w:numPr>
          <w:ilvl w:val="0"/>
          <w:numId w:val="2"/>
        </w:numPr>
        <w:spacing w:before="60" w:after="60"/>
      </w:pPr>
      <w:r>
        <w:rPr>
          <w:sz w:val="22"/>
          <w:szCs w:val="22"/>
        </w:rPr>
        <w:t xml:space="preserve">La detección de duplicados en PostgreSQL fallaría</w:t>
      </w:r>
    </w:p>
    <w:p>
      <w:pPr>
        <w:pStyle w:val="ListParagraph"/>
        <w:numPr>
          <w:ilvl w:val="0"/>
          <w:numId w:val="2"/>
        </w:numPr>
        <w:spacing w:before="60" w:after="60"/>
      </w:pPr>
      <w:r>
        <w:rPr>
          <w:sz w:val="22"/>
          <w:szCs w:val="22"/>
        </w:rPr>
        <w:t xml:space="preserve">El registro en Solana podría duplicarse para la misma molécula</w:t>
      </w:r>
    </w:p>
    <w:p>
      <w:pPr>
        <w:spacing w:before="80" w:after="120"/>
        <w:jc w:val="both"/>
      </w:pPr>
      <w:r>
        <w:rPr>
          <w:sz w:val="22"/>
          <w:szCs w:val="22"/>
        </w:rPr>
        <w:t xml:space="preserve">RDKit produce un SMILES canónico único, determinista y reproducible para cada molécula. El SHA-256 del canónico es la identidad de la molécula en todo el sistema.</w:t>
      </w:r>
    </w:p>
    <w:p>
      <w:pPr>
        <w:pStyle w:val="Heading2"/>
        <w:spacing w:before="300" w:after="160"/>
      </w:pPr>
      <w:r>
        <w:rPr>
          <w:b/>
          <w:bCs/>
          <w:color w:val="2E86C1"/>
        </w:rPr>
        <w:t xml:space="preserve">5.5 Por qué MinIO y No el Filesystem Local</w:t>
      </w:r>
    </w:p>
    <w:p>
      <w:pPr>
        <w:spacing w:before="80" w:after="120"/>
        <w:jc w:val="both"/>
      </w:pPr>
      <w:r>
        <w:rPr>
          <w:sz w:val="22"/>
          <w:szCs w:val="22"/>
        </w:rPr>
        <w:t xml:space="preserve">En plataformas cloud como Railway, el filesystem del contenedor es efímero: se borra en cada deploy, restart, o cuando el orquestador mueve el contenedor a otro servidor. AutoDock Vina necesita archivos .pdbqt en disco para funcionar.</w:t>
      </w:r>
    </w:p>
    <w:p>
      <w:pPr>
        <w:spacing w:before="80" w:after="120"/>
        <w:jc w:val="both"/>
      </w:pPr>
      <w:r>
        <w:rPr>
          <w:sz w:val="22"/>
          <w:szCs w:val="22"/>
        </w:rPr>
        <w:t xml:space="preserve">MinIO es un servidor de objetos compatible con la API de S3 que persiste los archivos independientemente del ciclo de vida del contenedor. Los archivos de proteína preparada (que tardan 2-5 minutos en generarse) se calculan una sola vez y se reutilizan indefinidamente.</w:t>
      </w:r>
    </w:p>
    <w:p>
      <w:pPr>
        <w:pStyle w:val="Heading2"/>
        <w:spacing w:before="300" w:after="160"/>
      </w:pPr>
      <w:r>
        <w:rPr>
          <w:b/>
          <w:bCs/>
          <w:color w:val="2E86C1"/>
        </w:rPr>
        <w:t xml:space="preserve">5.6 Por qué la IA No Calcula Química</w:t>
      </w:r>
    </w:p>
    <w:p>
      <w:pPr>
        <w:spacing w:before="80" w:after="120"/>
        <w:jc w:val="both"/>
      </w:pPr>
      <w:r>
        <w:rPr>
          <w:sz w:val="22"/>
          <w:szCs w:val="22"/>
        </w:rPr>
        <w:t xml:space="preserve">Los Large Language Models actuales, incluyendo Claude, pueden alucinar valores numéricos con alta confianza. Un modelo que inventa una afinidad de docking de -9.5 kcal/mol cuando el valor real es -5.2 kcal/mol causa que el usuario tome decisiones basadas en datos incorrectos.</w:t>
      </w:r>
    </w:p>
    <w:p>
      <w:pPr>
        <w:spacing w:before="80" w:after="120"/>
        <w:jc w:val="both"/>
      </w:pPr>
      <w:r>
        <w:rPr>
          <w:sz w:val="22"/>
          <w:szCs w:val="22"/>
        </w:rPr>
        <w:t xml:space="preserve">La arquitectura del sistema garantiza que:</w:t>
      </w:r>
    </w:p>
    <w:p>
      <w:pPr>
        <w:pStyle w:val="ListParagraph"/>
        <w:numPr>
          <w:ilvl w:val="0"/>
          <w:numId w:val="2"/>
        </w:numPr>
        <w:spacing w:before="60" w:after="60"/>
      </w:pPr>
      <w:r>
        <w:rPr>
          <w:sz w:val="22"/>
          <w:szCs w:val="22"/>
        </w:rPr>
        <w:t xml:space="preserve">Todo valor numérico viene de RDKit o AutoDock Vina, no de Claude</w:t>
      </w:r>
    </w:p>
    <w:p>
      <w:pPr>
        <w:pStyle w:val="ListParagraph"/>
        <w:numPr>
          <w:ilvl w:val="0"/>
          <w:numId w:val="2"/>
        </w:numPr>
        <w:spacing w:before="60" w:after="60"/>
      </w:pPr>
      <w:r>
        <w:rPr>
          <w:sz w:val="22"/>
          <w:szCs w:val="22"/>
        </w:rPr>
        <w:t xml:space="preserve">Claude solo recibe el EvaluationResult ya calculado y lo convierte en lenguaje natural</w:t>
      </w:r>
    </w:p>
    <w:p>
      <w:pPr>
        <w:pStyle w:val="ListParagraph"/>
        <w:numPr>
          <w:ilvl w:val="0"/>
          <w:numId w:val="2"/>
        </w:numPr>
        <w:spacing w:before="60" w:after="60"/>
      </w:pPr>
      <w:r>
        <w:rPr>
          <w:sz w:val="22"/>
          <w:szCs w:val="22"/>
        </w:rPr>
        <w:t xml:space="preserve">El prompt a Claude incluye explicitamente: 'No modifiques ningún valor numérico. Tu única tarea es explicar estos resultados en lenguaje farmacológico accesible.'</w:t>
      </w:r>
    </w:p>
    <w:p>
      <w:r>
        <w:br w:type="page"/>
      </w:r>
    </w:p>
    <w:p>
      <w:pPr>
        <w:pStyle w:val="Heading1"/>
        <w:pBdr>
          <w:bottom w:val="single" w:color="2E86C1" w:sz="6" w:space="1"/>
        </w:pBdr>
        <w:spacing w:before="400" w:after="200"/>
      </w:pPr>
      <w:r>
        <w:rPr>
          <w:b/>
          <w:bCs/>
          <w:color w:val="1B4F72"/>
        </w:rPr>
        <w:t xml:space="preserve">6. Deploy y Operaciones</w:t>
      </w:r>
    </w:p>
    <w:p>
      <w:pPr>
        <w:pStyle w:val="Heading2"/>
        <w:spacing w:before="300" w:after="160"/>
      </w:pPr>
      <w:r>
        <w:rPr>
          <w:b/>
          <w:bCs/>
          <w:color w:val="2E86C1"/>
        </w:rPr>
        <w:t xml:space="preserve">6.1 Entornos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b/>
                <w:bCs/>
                <w:color w:val="FFFFFF"/>
                <w:sz w:val="20"/>
                <w:szCs w:val="20"/>
              </w:rPr>
              <w:t xml:space="preserve">Tecnología</w:t>
            </w:r>
          </w:p>
        </w:tc>
        <w:tc>
          <w:tcPr>
            <w:tcW w:type="dxa" w:w="656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b/>
                <w:bCs/>
                <w:color w:val="FFFFFF"/>
                <w:sz w:val="20"/>
                <w:szCs w:val="20"/>
              </w:rPr>
              <w:t xml:space="preserve">Por qué esta decisión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Desarrollo local</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docker compose --profile dev up --build. Hot reload en API y frontend. Flower disponible en :5555. PostgreSQL en :5432 accesible directamente para inspección.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sz w:val="20"/>
                <w:szCs w:val="20"/>
              </w:rPr>
              <w:t xml:space="preserve">Staging (Railway)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Deploy automático desde branch 'main'. Variables de entorno configuradas en el dashboard de Railway. PostgreSQL y Redis como plugins managed.</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Courier New" w:cs="Courier New" w:eastAsia="Courier New" w:hAnsi="Courier New"/>
                <w:b/>
                <w:bCs/>
                <w:sz w:val="20"/>
                <w:szCs w:val="20"/>
              </w:rPr>
              <w:t xml:space="preserve">Producción (Railway + Vercel)</w:t>
            </w:r>
          </w:p>
        </w:tc>
        <w:tc>
          <w:tcPr>
            <w:tcW w:type="dxa" w:w="656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sz w:val="20"/>
                <w:szCs w:val="20"/>
              </w:rPr>
              <w:t xml:space="preserve">Backend en Railway con docker-compose.yml. Frontend Next.js en Vercel con deploy automático. NEXT_PUBLIC_API_URL apuntando al backend de Railway.</w:t>
            </w:r>
          </w:p>
        </w:tc>
      </w:tr>
    </w:tbl>
    <w:p>
      <w:pPr>
        <w:pStyle w:val="Heading2"/>
        <w:spacing w:before="300" w:after="160"/>
      </w:pPr>
      <w:r>
        <w:rPr>
          <w:b/>
          <w:bCs/>
          <w:color w:val="2E86C1"/>
        </w:rPr>
        <w:t xml:space="preserve">6.2 Variables de Entorno Críticas</w:t>
      </w:r>
    </w:p>
    <w:p>
      <w:pPr>
        <w:spacing w:before="80" w:after="120"/>
        <w:jc w:val="both"/>
      </w:pPr>
      <w:r>
        <w:rPr>
          <w:sz w:val="22"/>
          <w:szCs w:val="22"/>
        </w:rPr>
        <w:t xml:space="preserve">Las siguientes variables son obligatorias y deben configurarse antes del primer deploy:</w:t>
      </w:r>
    </w:p>
    <w:p>
      <w:pPr>
        <w:shd w:fill="F2F3F4" w:val="clear"/>
        <w:spacing w:before="60" w:after="60"/>
        <w:ind w:left="360"/>
      </w:pPr>
      <w:r>
        <w:rPr>
          <w:rFonts w:ascii="Courier New" w:cs="Courier New" w:eastAsia="Courier New" w:hAnsi="Courier New"/>
          <w:color w:val="1B4F72"/>
          <w:sz w:val="18"/>
          <w:szCs w:val="18"/>
        </w:rPr>
        <w:t xml:space="preserve">SECRET_KEY=&lt;openssl rand -hex 32&gt;</w:t>
      </w:r>
    </w:p>
    <w:p>
      <w:pPr>
        <w:shd w:fill="F2F3F4" w:val="clear"/>
        <w:spacing w:before="60" w:after="60"/>
        <w:ind w:left="360"/>
      </w:pPr>
      <w:r>
        <w:rPr>
          <w:rFonts w:ascii="Courier New" w:cs="Courier New" w:eastAsia="Courier New" w:hAnsi="Courier New"/>
          <w:color w:val="1B4F72"/>
          <w:sz w:val="18"/>
          <w:szCs w:val="18"/>
        </w:rPr>
        <w:t xml:space="preserve">DATABASE_URL=postgresql+asyncpg://user:pass@host:5432/db</w:t>
      </w:r>
    </w:p>
    <w:p>
      <w:pPr>
        <w:shd w:fill="F2F3F4" w:val="clear"/>
        <w:spacing w:before="60" w:after="60"/>
        <w:ind w:left="360"/>
      </w:pPr>
      <w:r>
        <w:rPr>
          <w:rFonts w:ascii="Courier New" w:cs="Courier New" w:eastAsia="Courier New" w:hAnsi="Courier New"/>
          <w:color w:val="1B4F72"/>
          <w:sz w:val="18"/>
          <w:szCs w:val="18"/>
        </w:rPr>
        <w:t xml:space="preserve">REDIS_URL=redis://host:6379/0</w:t>
      </w:r>
    </w:p>
    <w:p>
      <w:pPr>
        <w:shd w:fill="F2F3F4" w:val="clear"/>
        <w:spacing w:before="60" w:after="60"/>
        <w:ind w:left="360"/>
      </w:pPr>
      <w:r>
        <w:rPr>
          <w:rFonts w:ascii="Courier New" w:cs="Courier New" w:eastAsia="Courier New" w:hAnsi="Courier New"/>
          <w:color w:val="1B4F72"/>
          <w:sz w:val="18"/>
          <w:szCs w:val="18"/>
        </w:rPr>
        <w:t xml:space="preserve">MINIO_ROOT_USER=&lt;usuario&gt;</w:t>
      </w:r>
    </w:p>
    <w:p>
      <w:pPr>
        <w:shd w:fill="F2F3F4" w:val="clear"/>
        <w:spacing w:before="60" w:after="60"/>
        <w:ind w:left="360"/>
      </w:pPr>
      <w:r>
        <w:rPr>
          <w:rFonts w:ascii="Courier New" w:cs="Courier New" w:eastAsia="Courier New" w:hAnsi="Courier New"/>
          <w:color w:val="1B4F72"/>
          <w:sz w:val="18"/>
          <w:szCs w:val="18"/>
        </w:rPr>
        <w:t xml:space="preserve">MINIO_ROOT_PASSWORD=&lt;password_seguro&gt;</w:t>
      </w:r>
    </w:p>
    <w:p>
      <w:pPr>
        <w:shd w:fill="F2F3F4" w:val="clear"/>
        <w:spacing w:before="60" w:after="60"/>
        <w:ind w:left="360"/>
      </w:pPr>
      <w:r>
        <w:rPr>
          <w:rFonts w:ascii="Courier New" w:cs="Courier New" w:eastAsia="Courier New" w:hAnsi="Courier New"/>
          <w:color w:val="1B4F72"/>
          <w:sz w:val="18"/>
          <w:szCs w:val="18"/>
        </w:rPr>
        <w:t xml:space="preserve">ANTHROPIC_API_KEY=sk-ant-...  # requerida solo en Fase 3</w:t>
      </w:r>
    </w:p>
    <w:p>
      <w:pPr>
        <w:shd w:fill="F2F3F4" w:val="clear"/>
        <w:spacing w:before="60" w:after="60"/>
        <w:ind w:left="360"/>
      </w:pPr>
      <w:r>
        <w:rPr>
          <w:rFonts w:ascii="Courier New" w:cs="Courier New" w:eastAsia="Courier New" w:hAnsi="Courier New"/>
          <w:color w:val="1B4F72"/>
          <w:sz w:val="18"/>
          <w:szCs w:val="18"/>
        </w:rPr>
        <w:t xml:space="preserve">ENVIRONMENT=production</w:t>
      </w:r>
    </w:p>
    <w:p>
      <w:pPr>
        <w:spacing w:before="0" w:after="0"/>
      </w:pPr>
      <w:r>
        <w:t xml:space="preserve"/>
      </w:r>
    </w:p>
    <w:p>
      <w:pPr>
        <w:spacing w:before="80" w:after="120"/>
        <w:jc w:val="both"/>
      </w:pPr>
      <w:r>
        <w:rPr>
          <w:sz w:val="22"/>
          <w:szCs w:val="22"/>
        </w:rPr>
        <w:t xml:space="preserve">Railway inyecta automáticamente DATABASE_URL y REDIS_URL al conectar los plugins correspondientes. Las demás se configuran con railway variables set KEY=VALUE.</w:t>
      </w:r>
    </w:p>
    <w:p>
      <w:pPr>
        <w:pStyle w:val="Heading2"/>
        <w:spacing w:before="300" w:after="160"/>
      </w:pPr>
      <w:r>
        <w:rPr>
          <w:b/>
          <w:bCs/>
          <w:color w:val="2E86C1"/>
        </w:rPr>
        <w:t xml:space="preserve">6.3 Health Checks</w:t>
      </w:r>
    </w:p>
    <w:p>
      <w:pPr>
        <w:spacing w:before="80" w:after="120"/>
        <w:jc w:val="both"/>
      </w:pPr>
      <w:r>
        <w:rPr>
          <w:sz w:val="22"/>
          <w:szCs w:val="22"/>
        </w:rPr>
        <w:t xml:space="preserve">El endpoint GET /health verifica todos los servicios críticos antes de marcar el deploy como saludable:</w:t>
      </w:r>
    </w:p>
    <w:p>
      <w:pPr>
        <w:pStyle w:val="ListParagraph"/>
        <w:numPr>
          <w:ilvl w:val="0"/>
          <w:numId w:val="2"/>
        </w:numPr>
        <w:spacing w:before="60" w:after="60"/>
      </w:pPr>
      <w:r>
        <w:rPr>
          <w:sz w:val="22"/>
          <w:szCs w:val="22"/>
        </w:rPr>
        <w:t xml:space="preserve">PostgreSQL: SELECT version(), current_database()</w:t>
      </w:r>
    </w:p>
    <w:p>
      <w:pPr>
        <w:pStyle w:val="ListParagraph"/>
        <w:numPr>
          <w:ilvl w:val="0"/>
          <w:numId w:val="2"/>
        </w:numPr>
        <w:spacing w:before="60" w:after="60"/>
      </w:pPr>
      <w:r>
        <w:rPr>
          <w:sz w:val="22"/>
          <w:szCs w:val="22"/>
        </w:rPr>
        <w:t xml:space="preserve">Redis: PING</w:t>
      </w:r>
    </w:p>
    <w:p>
      <w:pPr>
        <w:pStyle w:val="ListParagraph"/>
        <w:numPr>
          <w:ilvl w:val="0"/>
          <w:numId w:val="2"/>
        </w:numPr>
        <w:spacing w:before="60" w:after="60"/>
      </w:pPr>
      <w:r>
        <w:rPr>
          <w:sz w:val="22"/>
          <w:szCs w:val="22"/>
        </w:rPr>
        <w:t xml:space="preserve">MinIO: bucket_exists(docking-poses)</w:t>
      </w:r>
    </w:p>
    <w:p>
      <w:pPr>
        <w:pStyle w:val="ListParagraph"/>
        <w:numPr>
          <w:ilvl w:val="0"/>
          <w:numId w:val="2"/>
        </w:numPr>
        <w:spacing w:before="60" w:after="60"/>
      </w:pPr>
      <w:r>
        <w:rPr>
          <w:sz w:val="22"/>
          <w:szCs w:val="22"/>
        </w:rPr>
        <w:t xml:space="preserve">Vina: os.path.exists(vina_executable_path)</w:t>
      </w:r>
    </w:p>
    <w:p>
      <w:pPr>
        <w:spacing w:before="80" w:after="120"/>
        <w:jc w:val="both"/>
      </w:pPr>
      <w:r>
        <w:rPr>
          <w:sz w:val="22"/>
          <w:szCs w:val="22"/>
        </w:rPr>
        <w:t xml:space="preserve">Railway espera que el health check retorne HTTP 200 dentro de 30 segundos del inicio del contenedor. Si falla, el deploy se revierte automáticamente.</w:t>
      </w:r>
    </w:p>
    <w:p>
      <w:pPr>
        <w:pStyle w:val="Heading2"/>
        <w:spacing w:before="300" w:after="160"/>
      </w:pPr>
      <w:r>
        <w:rPr>
          <w:b/>
          <w:bCs/>
          <w:color w:val="2E86C1"/>
        </w:rPr>
        <w:t xml:space="preserve">6.4 Consideraciones de Performance en Railway</w:t>
      </w:r>
    </w:p>
    <w:p>
      <w:pPr>
        <w:spacing w:before="80" w:after="120"/>
        <w:jc w:val="both"/>
      </w:pPr>
      <w:r>
        <w:rPr>
          <w:sz w:val="22"/>
          <w:szCs w:val="22"/>
        </w:rPr>
        <w:t xml:space="preserve">AutoDock Vina consume CPU intensivamente durante el docking. El tier gratuito de Railway asigna recursos compartidos que pueden hacer que un docking que tarda 30 segundos en desarrollo local tome 2-3 minutos en producción.</w:t>
      </w:r>
    </w:p>
    <w:p>
      <w:pPr>
        <w:spacing w:before="80" w:after="120"/>
        <w:jc w:val="both"/>
      </w:pPr>
      <w:r>
        <w:rPr>
          <w:sz w:val="22"/>
          <w:szCs w:val="22"/>
        </w:rPr>
        <w:t xml:space="preserve">Estrategias de mitigación:</w:t>
      </w:r>
    </w:p>
    <w:p>
      <w:pPr>
        <w:pStyle w:val="ListParagraph"/>
        <w:numPr>
          <w:ilvl w:val="0"/>
          <w:numId w:val="2"/>
        </w:numPr>
        <w:spacing w:before="60" w:after="60"/>
      </w:pPr>
      <w:r>
        <w:rPr>
          <w:sz w:val="22"/>
          <w:szCs w:val="22"/>
        </w:rPr>
        <w:t xml:space="preserve">Cache agresivo: una molécula ya evaluada nunca vuelve a correr Vina</w:t>
      </w:r>
    </w:p>
    <w:p>
      <w:pPr>
        <w:pStyle w:val="ListParagraph"/>
        <w:numPr>
          <w:ilvl w:val="0"/>
          <w:numId w:val="2"/>
        </w:numPr>
        <w:spacing w:before="60" w:after="60"/>
      </w:pPr>
      <w:r>
        <w:rPr>
          <w:sz w:val="22"/>
          <w:szCs w:val="22"/>
        </w:rPr>
        <w:t xml:space="preserve">exhaustiveness=8 (por defecto) balanceo velocidad/calidad. Reducir a 4 para MVP con menor precisión</w:t>
      </w:r>
    </w:p>
    <w:p>
      <w:pPr>
        <w:pStyle w:val="ListParagraph"/>
        <w:numPr>
          <w:ilvl w:val="0"/>
          <w:numId w:val="2"/>
        </w:numPr>
        <w:spacing w:before="60" w:after="60"/>
      </w:pPr>
      <w:r>
        <w:rPr>
          <w:sz w:val="22"/>
          <w:szCs w:val="22"/>
        </w:rPr>
        <w:t xml:space="preserve">Limitar el grid box del docking al sitio activo conocido (coordenadas en config.py)</w:t>
      </w:r>
    </w:p>
    <w:p>
      <w:pPr>
        <w:pStyle w:val="ListParagraph"/>
        <w:numPr>
          <w:ilvl w:val="0"/>
          <w:numId w:val="2"/>
        </w:numPr>
        <w:spacing w:before="60" w:after="60"/>
      </w:pPr>
      <w:r>
        <w:rPr>
          <w:sz w:val="22"/>
          <w:szCs w:val="22"/>
        </w:rPr>
        <w:t xml:space="preserve">Escalar al plan Hobby ($5/mes) elimina los límites de CPU compartida</w:t>
      </w:r>
    </w:p>
    <w:p>
      <w:r>
        <w:br w:type="page"/>
      </w:r>
    </w:p>
    <w:p>
      <w:pPr>
        <w:pStyle w:val="Heading1"/>
        <w:pBdr>
          <w:bottom w:val="single" w:color="2E86C1" w:sz="6" w:space="1"/>
        </w:pBdr>
        <w:spacing w:before="400" w:after="200"/>
      </w:pPr>
      <w:r>
        <w:rPr>
          <w:b/>
          <w:bCs/>
          <w:color w:val="1B4F72"/>
        </w:rPr>
        <w:t xml:space="preserve">7. Fase 4: DeSci y Certificación en Blockchain</w:t>
      </w:r>
    </w:p>
    <w:p>
      <w:pPr>
        <w:pStyle w:val="Heading2"/>
        <w:spacing w:before="300" w:after="160"/>
      </w:pPr>
      <w:r>
        <w:rPr>
          <w:b/>
          <w:bCs/>
          <w:color w:val="2E86C1"/>
        </w:rPr>
        <w:t xml:space="preserve">7.1 Filosofía del Registro</w:t>
      </w:r>
    </w:p>
    <w:p>
      <w:pPr>
        <w:spacing w:before="80" w:after="120"/>
        <w:jc w:val="both"/>
      </w:pPr>
      <w:r>
        <w:rPr>
          <w:sz w:val="22"/>
          <w:szCs w:val="22"/>
        </w:rPr>
        <w:t xml:space="preserve">El registro en Solana NO es un mecanismo de propiedad intelectual. Es un Certificate of Scientific Contribution con licencia CC0 (Creative Commons Zero — dominio público universal). La diferencia es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50"/>
              <w:bottom w:type="dxa" w:w="80"/>
              <w:right w:type="dxa" w:w="150"/>
            </w:tcMar>
          </w:tcPr>
          <w:p>
            <w:r>
              <w:rPr>
                <w:b/>
                <w:bCs/>
                <w:color w:val="FFFFFF"/>
                <w:sz w:val="20"/>
                <w:szCs w:val="20"/>
              </w:rPr>
              <w:t xml:space="preserve">IP-NFT (Molecule/VitaDAO)</w:t>
            </w:r>
          </w:p>
        </w:tc>
        <w:tc>
          <w:tcPr>
            <w:tcW w:type="dxa" w:w="4680"/>
            <w:tcBorders>
              <w:top w:val="single" w:color="CCCCCC" w:sz="1"/>
              <w:left w:val="single" w:color="CCCCCC" w:sz="1"/>
              <w:bottom w:val="single" w:color="CCCCCC" w:sz="1"/>
              <w:right w:val="single" w:color="CCCCCC" w:sz="1"/>
            </w:tcBorders>
            <w:shd w:fill="1D8348" w:val="clear"/>
            <w:tcMar>
              <w:top w:type="dxa" w:w="80"/>
              <w:left w:type="dxa" w:w="150"/>
              <w:bottom w:type="dxa" w:w="80"/>
              <w:right w:type="dxa" w:w="150"/>
            </w:tcMar>
          </w:tcPr>
          <w:p>
            <w:r>
              <w:rPr>
                <w:b/>
                <w:bCs/>
                <w:color w:val="FFFFFF"/>
                <w:sz w:val="20"/>
                <w:szCs w:val="20"/>
              </w:rPr>
              <w:t xml:space="preserve">MolDesign CC0 Certificate</w:t>
            </w:r>
          </w:p>
        </w:tc>
      </w:tr>
      <w:tr>
        <w:tc>
          <w:tcPr>
            <w:tcW w:type="dxa" w:w="4680"/>
            <w:tcBorders>
              <w:top w:val="single" w:color="CCCCCC" w:sz="1"/>
              <w:left w:val="single" w:color="CCCCCC" w:sz="1"/>
              <w:bottom w:val="single" w:color="CCCCCC" w:sz="1"/>
              <w:right w:val="single" w:color="CCCCCC" w:sz="1"/>
            </w:tcBorders>
            <w:shd w:fill="F2F3F4" w:val="clear"/>
            <w:tcMar>
              <w:top w:type="dxa" w:w="60"/>
              <w:left w:type="dxa" w:w="150"/>
              <w:bottom w:type="dxa" w:w="60"/>
              <w:right w:type="dxa" w:w="150"/>
            </w:tcMar>
          </w:tcPr>
          <w:p>
            <w:r>
              <w:rPr>
                <w:sz w:val="20"/>
                <w:szCs w:val="20"/>
              </w:rPr>
              <w:t xml:space="preserve">El usuario posee la molécula</w:t>
            </w:r>
          </w:p>
        </w:tc>
        <w:tc>
          <w:tcPr>
            <w:tcW w:type="dxa" w:w="468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20"/>
                <w:szCs w:val="20"/>
              </w:rPr>
              <w:t xml:space="preserve">La molécula es de la humanidad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20"/>
                <w:szCs w:val="20"/>
              </w:rPr>
              <w:t xml:space="preserve">Puede excluir a otros de usarla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20"/>
                <w:szCs w:val="20"/>
              </w:rPr>
              <w:t xml:space="preserve">Cualquiera puede sintetizarla y estudiarla</w:t>
            </w:r>
          </w:p>
        </w:tc>
      </w:tr>
      <w:tr>
        <w:tc>
          <w:tcPr>
            <w:tcW w:type="dxa" w:w="4680"/>
            <w:tcBorders>
              <w:top w:val="single" w:color="CCCCCC" w:sz="1"/>
              <w:left w:val="single" w:color="CCCCCC" w:sz="1"/>
              <w:bottom w:val="single" w:color="CCCCCC" w:sz="1"/>
              <w:right w:val="single" w:color="CCCCCC" w:sz="1"/>
            </w:tcBorders>
            <w:shd w:fill="F2F3F4" w:val="clear"/>
            <w:tcMar>
              <w:top w:type="dxa" w:w="60"/>
              <w:left w:type="dxa" w:w="150"/>
              <w:bottom w:type="dxa" w:w="60"/>
              <w:right w:type="dxa" w:w="150"/>
            </w:tcMar>
          </w:tcPr>
          <w:p>
            <w:r>
              <w:rPr>
                <w:sz w:val="20"/>
                <w:szCs w:val="20"/>
              </w:rPr>
              <w:t xml:space="preserve">La farmacéutica paga royalties</w:t>
            </w:r>
          </w:p>
        </w:tc>
        <w:tc>
          <w:tcPr>
            <w:tcW w:type="dxa" w:w="468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20"/>
                <w:szCs w:val="20"/>
              </w:rPr>
              <w:t xml:space="preserve">La farmacéutica la desarrolla libremente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20"/>
                <w:szCs w:val="20"/>
              </w:rPr>
              <w:t xml:space="preserve">Incentivo: dinero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sz w:val="20"/>
                <w:szCs w:val="20"/>
              </w:rPr>
              <w:t xml:space="preserve">Incentivo: reconocimiento, honor, legado</w:t>
            </w:r>
          </w:p>
        </w:tc>
      </w:tr>
      <w:tr>
        <w:tc>
          <w:tcPr>
            <w:tcW w:type="dxa" w:w="4680"/>
            <w:tcBorders>
              <w:top w:val="single" w:color="CCCCCC" w:sz="1"/>
              <w:left w:val="single" w:color="CCCCCC" w:sz="1"/>
              <w:bottom w:val="single" w:color="CCCCCC" w:sz="1"/>
              <w:right w:val="single" w:color="CCCCCC" w:sz="1"/>
            </w:tcBorders>
            <w:shd w:fill="F2F3F4" w:val="clear"/>
            <w:tcMar>
              <w:top w:type="dxa" w:w="60"/>
              <w:left w:type="dxa" w:w="150"/>
              <w:bottom w:type="dxa" w:w="60"/>
              <w:right w:type="dxa" w:w="150"/>
            </w:tcMar>
          </w:tcPr>
          <w:p>
            <w:r>
              <w:rPr>
                <w:sz w:val="20"/>
                <w:szCs w:val="20"/>
              </w:rPr>
              <w:t xml:space="preserve">Crea barreras al desarrollo</w:t>
            </w:r>
          </w:p>
        </w:tc>
        <w:tc>
          <w:tcPr>
            <w:tcW w:type="dxa" w:w="4680"/>
            <w:tcBorders>
              <w:top w:val="single" w:color="CCCCCC" w:sz="1"/>
              <w:left w:val="single" w:color="CCCCCC" w:sz="1"/>
              <w:bottom w:val="single" w:color="CCCCCC" w:sz="1"/>
              <w:right w:val="single" w:color="CCCCCC" w:sz="1"/>
            </w:tcBorders>
            <w:shd w:fill="D5F5E3" w:val="clear"/>
            <w:tcMar>
              <w:top w:type="dxa" w:w="60"/>
              <w:left w:type="dxa" w:w="150"/>
              <w:bottom w:type="dxa" w:w="60"/>
              <w:right w:type="dxa" w:w="150"/>
            </w:tcMar>
          </w:tcPr>
          <w:p>
            <w:r>
              <w:rPr>
                <w:sz w:val="20"/>
                <w:szCs w:val="20"/>
              </w:rPr>
              <w:t xml:space="preserve">Acelera la llegada al paciente</w:t>
            </w:r>
          </w:p>
        </w:tc>
      </w:tr>
    </w:tbl>
    <w:p>
      <w:pPr>
        <w:spacing w:before="0" w:after="0"/>
      </w:pPr>
      <w:r>
        <w:t xml:space="preserve"/>
      </w:r>
    </w:p>
    <w:p>
      <w:pPr>
        <w:pStyle w:val="Heading2"/>
        <w:spacing w:before="300" w:after="160"/>
      </w:pPr>
      <w:r>
        <w:rPr>
          <w:b/>
          <w:bCs/>
          <w:color w:val="2E86C1"/>
        </w:rPr>
        <w:t xml:space="preserve">7.2 Contenido del Certificado</w:t>
      </w:r>
    </w:p>
    <w:p>
      <w:pPr>
        <w:spacing w:before="80" w:after="120"/>
        <w:jc w:val="both"/>
      </w:pPr>
      <w:r>
        <w:rPr>
          <w:sz w:val="22"/>
          <w:szCs w:val="22"/>
        </w:rPr>
        <w:t xml:space="preserve">El payload que se registra en Solana contiene suficiente información para que cualquier científico pueda reproducir exactamente el experimento:</w:t>
      </w:r>
    </w:p>
    <w:p>
      <w:pPr>
        <w:shd w:fill="F2F3F4" w:val="clear"/>
        <w:spacing w:before="60" w:after="60"/>
        <w:ind w:left="360"/>
      </w:pPr>
      <w:r>
        <w:rPr>
          <w:rFonts w:ascii="Courier New" w:cs="Courier New" w:eastAsia="Courier New" w:hAnsi="Courier New"/>
          <w:color w:val="1B4F72"/>
          <w:sz w:val="18"/>
          <w:szCs w:val="18"/>
        </w:rPr>
        <w:t xml:space="preserve">{ "certificate_type": "scientific_contribution_v1",</w:t>
      </w:r>
    </w:p>
    <w:p>
      <w:pPr>
        <w:shd w:fill="F2F3F4" w:val="clear"/>
        <w:spacing w:before="60" w:after="60"/>
        <w:ind w:left="360"/>
      </w:pPr>
      <w:r>
        <w:rPr>
          <w:rFonts w:ascii="Courier New" w:cs="Courier New" w:eastAsia="Courier New" w:hAnsi="Courier New"/>
          <w:color w:val="1B4F72"/>
          <w:sz w:val="18"/>
          <w:szCs w:val="18"/>
        </w:rPr>
        <w:t xml:space="preserve">  "license": "CC0-1.0",</w:t>
      </w:r>
    </w:p>
    <w:p>
      <w:pPr>
        <w:shd w:fill="F2F3F4" w:val="clear"/>
        <w:spacing w:before="60" w:after="60"/>
        <w:ind w:left="360"/>
      </w:pPr>
      <w:r>
        <w:rPr>
          <w:rFonts w:ascii="Courier New" w:cs="Courier New" w:eastAsia="Courier New" w:hAnsi="Courier New"/>
          <w:color w:val="1B4F72"/>
          <w:sz w:val="18"/>
          <w:szCs w:val="18"/>
        </w:rPr>
        <w:t xml:space="preserve">  "contributor": "&lt;wallet_address&gt;",</w:t>
      </w:r>
    </w:p>
    <w:p>
      <w:pPr>
        <w:shd w:fill="F2F3F4" w:val="clear"/>
        <w:spacing w:before="60" w:after="60"/>
        <w:ind w:left="360"/>
      </w:pPr>
      <w:r>
        <w:rPr>
          <w:rFonts w:ascii="Courier New" w:cs="Courier New" w:eastAsia="Courier New" w:hAnsi="Courier New"/>
          <w:color w:val="1B4F72"/>
          <w:sz w:val="18"/>
          <w:szCs w:val="18"/>
        </w:rPr>
        <w:t xml:space="preserve">  "smiles_hash": "&lt;sha256_canonical_smiles&gt;",</w:t>
      </w:r>
    </w:p>
    <w:p>
      <w:pPr>
        <w:shd w:fill="F2F3F4" w:val="clear"/>
        <w:spacing w:before="60" w:after="60"/>
        <w:ind w:left="360"/>
      </w:pPr>
      <w:r>
        <w:rPr>
          <w:rFonts w:ascii="Courier New" w:cs="Courier New" w:eastAsia="Courier New" w:hAnsi="Courier New"/>
          <w:color w:val="1B4F72"/>
          <w:sz w:val="18"/>
          <w:szCs w:val="18"/>
        </w:rPr>
        <w:t xml:space="preserve">  "target_pdb_id": "3RZY",</w:t>
      </w:r>
    </w:p>
    <w:p>
      <w:pPr>
        <w:shd w:fill="F2F3F4" w:val="clear"/>
        <w:spacing w:before="60" w:after="60"/>
        <w:ind w:left="360"/>
      </w:pPr>
      <w:r>
        <w:rPr>
          <w:rFonts w:ascii="Courier New" w:cs="Courier New" w:eastAsia="Courier New" w:hAnsi="Courier New"/>
          <w:color w:val="1B4F72"/>
          <w:sz w:val="18"/>
          <w:szCs w:val="18"/>
        </w:rPr>
        <w:t xml:space="preserve">  "vina_affinity_kcal": -8.5,</w:t>
      </w:r>
    </w:p>
    <w:p>
      <w:pPr>
        <w:shd w:fill="F2F3F4" w:val="clear"/>
        <w:spacing w:before="60" w:after="60"/>
        <w:ind w:left="360"/>
      </w:pPr>
      <w:r>
        <w:rPr>
          <w:rFonts w:ascii="Courier New" w:cs="Courier New" w:eastAsia="Courier New" w:hAnsi="Courier New"/>
          <w:color w:val="1B4F72"/>
          <w:sz w:val="18"/>
          <w:szCs w:val="18"/>
        </w:rPr>
        <w:t xml:space="preserve">  "total_score": 87.3,</w:t>
      </w:r>
    </w:p>
    <w:p>
      <w:pPr>
        <w:shd w:fill="F2F3F4" w:val="clear"/>
        <w:spacing w:before="60" w:after="60"/>
        <w:ind w:left="360"/>
      </w:pPr>
      <w:r>
        <w:rPr>
          <w:rFonts w:ascii="Courier New" w:cs="Courier New" w:eastAsia="Courier New" w:hAnsi="Courier New"/>
          <w:color w:val="1B4F72"/>
          <w:sz w:val="18"/>
          <w:szCs w:val="18"/>
        </w:rPr>
        <w:t xml:space="preserve">  "software_versions": { "rdkit": "2023.09.4", "vina": "1.2.5" },</w:t>
      </w:r>
    </w:p>
    <w:p>
      <w:pPr>
        <w:shd w:fill="F2F3F4" w:val="clear"/>
        <w:spacing w:before="60" w:after="60"/>
        <w:ind w:left="360"/>
      </w:pPr>
      <w:r>
        <w:rPr>
          <w:rFonts w:ascii="Courier New" w:cs="Courier New" w:eastAsia="Courier New" w:hAnsi="Courier New"/>
          <w:color w:val="1B4F72"/>
          <w:sz w:val="18"/>
          <w:szCs w:val="18"/>
        </w:rPr>
        <w:t xml:space="preserve">  "timestamp_utc": "2026-03-30T14:23:11Z",</w:t>
      </w:r>
    </w:p>
    <w:p>
      <w:pPr>
        <w:shd w:fill="F2F3F4" w:val="clear"/>
        <w:spacing w:before="60" w:after="60"/>
        <w:ind w:left="360"/>
      </w:pPr>
      <w:r>
        <w:rPr>
          <w:rFonts w:ascii="Courier New" w:cs="Courier New" w:eastAsia="Courier New" w:hAnsi="Courier New"/>
          <w:color w:val="1B4F72"/>
          <w:sz w:val="18"/>
          <w:szCs w:val="18"/>
        </w:rPr>
        <w:t xml:space="preserve">  "platform": "MolDesign v1.0" }</w:t>
      </w:r>
    </w:p>
    <w:p>
      <w:pPr>
        <w:spacing w:before="0" w:after="0"/>
      </w:pPr>
      <w:r>
        <w:t xml:space="preserve"/>
      </w:r>
    </w:p>
    <w:p>
      <w:pPr>
        <w:pStyle w:val="Heading2"/>
        <w:spacing w:before="300" w:after="160"/>
      </w:pPr>
      <w:r>
        <w:rPr>
          <w:b/>
          <w:bCs/>
          <w:color w:val="2E86C1"/>
        </w:rPr>
        <w:t xml:space="preserve">7.3 Lo que el Usuario Gana</w:t>
      </w:r>
    </w:p>
    <w:p>
      <w:pPr>
        <w:spacing w:before="80" w:after="120"/>
        <w:jc w:val="both"/>
      </w:pPr>
      <w:r>
        <w:rPr>
          <w:sz w:val="22"/>
          <w:szCs w:val="22"/>
        </w:rPr>
        <w:t xml:space="preserve">Un tx_id de Solana que es público, permanente, y verificable por cualquier persona. Puede:</w:t>
      </w:r>
    </w:p>
    <w:p>
      <w:pPr>
        <w:pStyle w:val="ListParagraph"/>
        <w:numPr>
          <w:ilvl w:val="0"/>
          <w:numId w:val="2"/>
        </w:numPr>
        <w:spacing w:before="60" w:after="60"/>
      </w:pPr>
      <w:r>
        <w:rPr>
          <w:sz w:val="22"/>
          <w:szCs w:val="22"/>
        </w:rPr>
        <w:t xml:space="preserve">Citarlo en su CV y LinkedIn como un descubrimiento científico con fecha verificable</w:t>
      </w:r>
    </w:p>
    <w:p>
      <w:pPr>
        <w:pStyle w:val="ListParagraph"/>
        <w:numPr>
          <w:ilvl w:val="0"/>
          <w:numId w:val="2"/>
        </w:numPr>
        <w:spacing w:before="60" w:after="60"/>
      </w:pPr>
      <w:r>
        <w:rPr>
          <w:sz w:val="22"/>
          <w:szCs w:val="22"/>
        </w:rPr>
        <w:t xml:space="preserve">Referenciarlo en papers académicos como prior art si la molécula progresa en investigación</w:t>
      </w:r>
    </w:p>
    <w:p>
      <w:pPr>
        <w:pStyle w:val="ListParagraph"/>
        <w:numPr>
          <w:ilvl w:val="0"/>
          <w:numId w:val="2"/>
        </w:numPr>
        <w:spacing w:before="60" w:after="60"/>
      </w:pPr>
      <w:r>
        <w:rPr>
          <w:sz w:val="22"/>
          <w:szCs w:val="22"/>
        </w:rPr>
        <w:t xml:space="preserve">Compartirlo públicamente con un link a un explorador de Solana que muestra todos los detalles</w:t>
      </w:r>
    </w:p>
    <w:p>
      <w:pPr>
        <w:pStyle w:val="ListParagraph"/>
        <w:numPr>
          <w:ilvl w:val="0"/>
          <w:numId w:val="2"/>
        </w:numPr>
        <w:spacing w:before="60" w:after="60"/>
      </w:pPr>
      <w:r>
        <w:rPr>
          <w:sz w:val="22"/>
          <w:szCs w:val="22"/>
        </w:rPr>
        <w:t xml:space="preserve">Si la molécula llega a ser un fármaco, su nombre aparecerá en la historia del medicamento</w:t>
      </w:r>
    </w:p>
    <w:p>
      <w:pPr>
        <w:pStyle w:val="Heading2"/>
        <w:spacing w:before="300" w:after="160"/>
      </w:pPr>
      <w:r>
        <w:rPr>
          <w:b/>
          <w:bCs/>
          <w:color w:val="2E86C1"/>
        </w:rPr>
        <w:t xml:space="preserve">7.4 Separación del Pipeline Científico</w:t>
      </w:r>
    </w:p>
    <w:p>
      <w:pPr>
        <w:spacing w:before="80" w:after="120"/>
        <w:jc w:val="both"/>
      </w:pPr>
      <w:r>
        <w:rPr>
          <w:sz w:val="22"/>
          <w:szCs w:val="22"/>
        </w:rPr>
        <w:t xml:space="preserve">La certificación es completamente opt-in y post-evaluación. El pipeline científico (RDKit → Vina → scoring) no sabe que Solana existe. El usuario ve su EvaluationResult completo y luego decide voluntariamente si certifica.</w:t>
      </w:r>
    </w:p>
    <w:p>
      <w:pPr>
        <w:spacing w:before="80" w:after="120"/>
        <w:jc w:val="both"/>
      </w:pPr>
      <w:r>
        <w:rPr>
          <w:sz w:val="22"/>
          <w:szCs w:val="22"/>
        </w:rPr>
        <w:t xml:space="preserve">Ningún archivo de las Fases 0-3 fue modificado para añadir la funcionalidad blockchain. Solo se agregan tres archivos nuevos en la Fase 4: solana_client.py, desci_registry.py, y el router de certificación.</w:t>
      </w:r>
    </w:p>
    <w:p>
      <w:r>
        <w:br w:type="page"/>
      </w:r>
    </w:p>
    <w:p>
      <w:pPr>
        <w:pStyle w:val="Heading1"/>
        <w:pBdr>
          <w:bottom w:val="single" w:color="2E86C1" w:sz="6" w:space="1"/>
        </w:pBdr>
        <w:spacing w:before="400" w:after="200"/>
      </w:pPr>
      <w:r>
        <w:rPr>
          <w:b/>
          <w:bCs/>
          <w:color w:val="1B4F72"/>
        </w:rPr>
        <w:t xml:space="preserve">8. Roadmap de Desarrollo</w:t>
      </w:r>
    </w:p>
    <w:p>
      <w:pPr>
        <w:pStyle w:val="Heading2"/>
        <w:spacing w:before="300" w:after="160"/>
      </w:pPr>
      <w:r>
        <w:rPr>
          <w:b/>
          <w:bCs/>
          <w:color w:val="2E86C1"/>
        </w:rPr>
        <w:t xml:space="preserve">Fase 1 — MVP Científico</w:t>
      </w:r>
    </w:p>
    <w:p>
      <w:pPr>
        <w:pStyle w:val="ListParagraph"/>
        <w:numPr>
          <w:ilvl w:val="0"/>
          <w:numId w:val="2"/>
        </w:numPr>
        <w:spacing w:before="60" w:after="60"/>
      </w:pPr>
      <w:r>
        <w:rPr>
          <w:sz w:val="22"/>
          <w:szCs w:val="22"/>
        </w:rPr>
        <w:t xml:space="preserve">Target fijo: 5-HT1A (PDB: 3RZY)</w:t>
      </w:r>
    </w:p>
    <w:p>
      <w:pPr>
        <w:pStyle w:val="ListParagraph"/>
        <w:numPr>
          <w:ilvl w:val="0"/>
          <w:numId w:val="2"/>
        </w:numPr>
        <w:spacing w:before="60" w:after="60"/>
      </w:pPr>
      <w:r>
        <w:rPr>
          <w:sz w:val="22"/>
          <w:szCs w:val="22"/>
        </w:rPr>
        <w:t xml:space="preserve">Editor Ketcher + validación en tiempo real</w:t>
      </w:r>
    </w:p>
    <w:p>
      <w:pPr>
        <w:pStyle w:val="ListParagraph"/>
        <w:numPr>
          <w:ilvl w:val="0"/>
          <w:numId w:val="2"/>
        </w:numPr>
        <w:spacing w:before="60" w:after="60"/>
      </w:pPr>
      <w:r>
        <w:rPr>
          <w:sz w:val="22"/>
          <w:szCs w:val="22"/>
        </w:rPr>
        <w:t xml:space="preserve">RDKit: validación, propiedades, conformer 3D</w:t>
      </w:r>
    </w:p>
    <w:p>
      <w:pPr>
        <w:pStyle w:val="ListParagraph"/>
        <w:numPr>
          <w:ilvl w:val="0"/>
          <w:numId w:val="2"/>
        </w:numPr>
        <w:spacing w:before="60" w:after="60"/>
      </w:pPr>
      <w:r>
        <w:rPr>
          <w:sz w:val="22"/>
          <w:szCs w:val="22"/>
        </w:rPr>
        <w:t xml:space="preserve">AutoDock Vina con cache Redis</w:t>
      </w:r>
    </w:p>
    <w:p>
      <w:pPr>
        <w:pStyle w:val="ListParagraph"/>
        <w:numPr>
          <w:ilvl w:val="0"/>
          <w:numId w:val="2"/>
        </w:numPr>
        <w:spacing w:before="60" w:after="60"/>
      </w:pPr>
      <w:r>
        <w:rPr>
          <w:sz w:val="22"/>
          <w:szCs w:val="22"/>
        </w:rPr>
        <w:t xml:space="preserve">Score normalizado 0-100</w:t>
      </w:r>
    </w:p>
    <w:p>
      <w:pPr>
        <w:pStyle w:val="ListParagraph"/>
        <w:numPr>
          <w:ilvl w:val="0"/>
          <w:numId w:val="2"/>
        </w:numPr>
        <w:spacing w:before="60" w:after="60"/>
      </w:pPr>
      <w:r>
        <w:rPr>
          <w:sz w:val="22"/>
          <w:szCs w:val="22"/>
        </w:rPr>
        <w:t xml:space="preserve">Reporte narrativo con Claude API</w:t>
      </w:r>
    </w:p>
    <w:p>
      <w:pPr>
        <w:pStyle w:val="Heading2"/>
        <w:spacing w:before="300" w:after="160"/>
      </w:pPr>
      <w:r>
        <w:rPr>
          <w:b/>
          <w:bCs/>
          <w:color w:val="2E86C1"/>
        </w:rPr>
        <w:t xml:space="preserve">Fase 2 — Multi-target y Persistencia</w:t>
      </w:r>
    </w:p>
    <w:p>
      <w:pPr>
        <w:pStyle w:val="ListParagraph"/>
        <w:numPr>
          <w:ilvl w:val="0"/>
          <w:numId w:val="2"/>
        </w:numPr>
        <w:spacing w:before="60" w:after="60"/>
      </w:pPr>
      <w:r>
        <w:rPr>
          <w:sz w:val="22"/>
          <w:szCs w:val="22"/>
        </w:rPr>
        <w:t xml:space="preserve">Múltiples targets biológicos seleccionables</w:t>
      </w:r>
    </w:p>
    <w:p>
      <w:pPr>
        <w:pStyle w:val="ListParagraph"/>
        <w:numPr>
          <w:ilvl w:val="0"/>
          <w:numId w:val="2"/>
        </w:numPr>
        <w:spacing w:before="60" w:after="60"/>
      </w:pPr>
      <w:r>
        <w:rPr>
          <w:sz w:val="22"/>
          <w:szCs w:val="22"/>
        </w:rPr>
        <w:t xml:space="preserve">Árbol de modificaciones moleculares por parent_id</w:t>
      </w:r>
    </w:p>
    <w:p>
      <w:pPr>
        <w:pStyle w:val="ListParagraph"/>
        <w:numPr>
          <w:ilvl w:val="0"/>
          <w:numId w:val="2"/>
        </w:numPr>
        <w:spacing w:before="60" w:after="60"/>
      </w:pPr>
      <w:r>
        <w:rPr>
          <w:sz w:val="22"/>
          <w:szCs w:val="22"/>
        </w:rPr>
        <w:t xml:space="preserve">Historial de evaluaciones por usuario</w:t>
      </w:r>
    </w:p>
    <w:p>
      <w:pPr>
        <w:pStyle w:val="ListParagraph"/>
        <w:numPr>
          <w:ilvl w:val="0"/>
          <w:numId w:val="2"/>
        </w:numPr>
        <w:spacing w:before="60" w:after="60"/>
      </w:pPr>
      <w:r>
        <w:rPr>
          <w:sz w:val="22"/>
          <w:szCs w:val="22"/>
        </w:rPr>
        <w:t xml:space="preserve">Visor 3D Mol* para poses de docking</w:t>
      </w:r>
    </w:p>
    <w:p>
      <w:pPr>
        <w:pStyle w:val="ListParagraph"/>
        <w:numPr>
          <w:ilvl w:val="0"/>
          <w:numId w:val="2"/>
        </w:numPr>
        <w:spacing w:before="60" w:after="60"/>
      </w:pPr>
      <w:r>
        <w:rPr>
          <w:sz w:val="22"/>
          <w:szCs w:val="22"/>
        </w:rPr>
        <w:t xml:space="preserve">Ranking global de moléculas por target</w:t>
      </w:r>
    </w:p>
    <w:p>
      <w:pPr>
        <w:pStyle w:val="Heading2"/>
        <w:spacing w:before="300" w:after="160"/>
      </w:pPr>
      <w:r>
        <w:rPr>
          <w:b/>
          <w:bCs/>
          <w:color w:val="2E86C1"/>
        </w:rPr>
        <w:t xml:space="preserve">Fase 3 — Gamificación y Comunidad</w:t>
      </w:r>
    </w:p>
    <w:p>
      <w:pPr>
        <w:pStyle w:val="ListParagraph"/>
        <w:numPr>
          <w:ilvl w:val="0"/>
          <w:numId w:val="2"/>
        </w:numPr>
        <w:spacing w:before="60" w:after="60"/>
      </w:pPr>
      <w:r>
        <w:rPr>
          <w:sz w:val="22"/>
          <w:szCs w:val="22"/>
        </w:rPr>
        <w:t xml:space="preserve">Sistema de logros y niveles científicos</w:t>
      </w:r>
    </w:p>
    <w:p>
      <w:pPr>
        <w:pStyle w:val="ListParagraph"/>
        <w:numPr>
          <w:ilvl w:val="0"/>
          <w:numId w:val="2"/>
        </w:numPr>
        <w:spacing w:before="60" w:after="60"/>
      </w:pPr>
      <w:r>
        <w:rPr>
          <w:sz w:val="22"/>
          <w:szCs w:val="22"/>
        </w:rPr>
        <w:t xml:space="preserve">Challenges semanales por target</w:t>
      </w:r>
    </w:p>
    <w:p>
      <w:pPr>
        <w:pStyle w:val="ListParagraph"/>
        <w:numPr>
          <w:ilvl w:val="0"/>
          <w:numId w:val="2"/>
        </w:numPr>
        <w:spacing w:before="60" w:after="60"/>
      </w:pPr>
      <w:r>
        <w:rPr>
          <w:sz w:val="22"/>
          <w:szCs w:val="22"/>
        </w:rPr>
        <w:t xml:space="preserve">Comparación de moléculas en el leaderboard</w:t>
      </w:r>
    </w:p>
    <w:p>
      <w:pPr>
        <w:pStyle w:val="ListParagraph"/>
        <w:numPr>
          <w:ilvl w:val="0"/>
          <w:numId w:val="2"/>
        </w:numPr>
        <w:spacing w:before="60" w:after="60"/>
      </w:pPr>
      <w:r>
        <w:rPr>
          <w:sz w:val="22"/>
          <w:szCs w:val="22"/>
        </w:rPr>
        <w:t xml:space="preserve">Export de resultados en formato paper</w:t>
      </w:r>
    </w:p>
    <w:p>
      <w:pPr>
        <w:pStyle w:val="Heading2"/>
        <w:spacing w:before="300" w:after="160"/>
      </w:pPr>
      <w:r>
        <w:rPr>
          <w:b/>
          <w:bCs/>
          <w:color w:val="2E86C1"/>
        </w:rPr>
        <w:t xml:space="preserve">Fase 4 — DeSci y Blockchain</w:t>
      </w:r>
    </w:p>
    <w:p>
      <w:pPr>
        <w:pStyle w:val="ListParagraph"/>
        <w:numPr>
          <w:ilvl w:val="0"/>
          <w:numId w:val="2"/>
        </w:numPr>
        <w:spacing w:before="60" w:after="60"/>
      </w:pPr>
      <w:r>
        <w:rPr>
          <w:sz w:val="22"/>
          <w:szCs w:val="22"/>
        </w:rPr>
        <w:t xml:space="preserve">Certificación opt-in en Solana con licencia CC0</w:t>
      </w:r>
    </w:p>
    <w:p>
      <w:pPr>
        <w:pStyle w:val="ListParagraph"/>
        <w:numPr>
          <w:ilvl w:val="0"/>
          <w:numId w:val="2"/>
        </w:numPr>
        <w:spacing w:before="60" w:after="60"/>
      </w:pPr>
      <w:r>
        <w:rPr>
          <w:sz w:val="22"/>
          <w:szCs w:val="22"/>
        </w:rPr>
        <w:t xml:space="preserve">Certificate of Scientific Contribution público</w:t>
      </w:r>
    </w:p>
    <w:p>
      <w:pPr>
        <w:pStyle w:val="ListParagraph"/>
        <w:numPr>
          <w:ilvl w:val="0"/>
          <w:numId w:val="2"/>
        </w:numPr>
        <w:spacing w:before="60" w:after="60"/>
      </w:pPr>
      <w:r>
        <w:rPr>
          <w:sz w:val="22"/>
          <w:szCs w:val="22"/>
        </w:rPr>
        <w:t xml:space="preserve">Integración con Colosseum Hackathon (Solana Frontier)</w:t>
      </w:r>
    </w:p>
    <w:p>
      <w:pPr>
        <w:pStyle w:val="ListParagraph"/>
        <w:numPr>
          <w:ilvl w:val="0"/>
          <w:numId w:val="2"/>
        </w:numPr>
        <w:spacing w:before="60" w:after="60"/>
      </w:pPr>
      <w:r>
        <w:rPr>
          <w:sz w:val="22"/>
          <w:szCs w:val="22"/>
        </w:rPr>
        <w:t xml:space="preserve">Exploración de partnership con VitaDAO / Molecule para moléculas de alto score</w:t>
      </w:r>
    </w:p>
    <w:p>
      <w:r>
        <w:br w:type="page"/>
      </w:r>
    </w:p>
    <w:p>
      <w:pPr>
        <w:pStyle w:val="Heading1"/>
        <w:pBdr>
          <w:bottom w:val="single" w:color="2E86C1" w:sz="6" w:space="1"/>
        </w:pBdr>
        <w:spacing w:before="400" w:after="200"/>
      </w:pPr>
      <w:r>
        <w:rPr>
          <w:b/>
          <w:bCs/>
          <w:color w:val="1B4F72"/>
        </w:rPr>
        <w:t xml:space="preserve">9. Referencias Científicas</w:t>
      </w:r>
    </w:p>
    <w:p>
      <w:pPr>
        <w:spacing w:before="80" w:after="120"/>
        <w:jc w:val="both"/>
      </w:pPr>
      <w:r>
        <w:rPr>
          <w:sz w:val="22"/>
          <w:szCs w:val="22"/>
        </w:rPr>
        <w:t xml:space="preserve">Las siguientes publicaciones fundamentan las decisiones científicas del sistema:</w:t>
      </w:r>
    </w:p>
    <w:p>
      <w:pPr>
        <w:pStyle w:val="ListParagraph"/>
        <w:numPr>
          <w:ilvl w:val="0"/>
          <w:numId w:val="3"/>
        </w:numPr>
        <w:spacing w:before="80" w:after="80"/>
      </w:pPr>
      <w:r>
        <w:rPr>
          <w:i/>
          <w:iCs/>
          <w:sz w:val="22"/>
          <w:szCs w:val="22"/>
        </w:rPr>
        <w:t xml:space="preserve">Lipinski, C.A. et al. (1997). Experimental and computational approaches to estimate solubility and permeability in drug discovery and development settings. Advanced Drug Delivery Reviews, 23(1-3), 3-25.</w:t>
      </w:r>
    </w:p>
    <w:p>
      <w:pPr>
        <w:pStyle w:val="ListParagraph"/>
        <w:numPr>
          <w:ilvl w:val="0"/>
          <w:numId w:val="3"/>
        </w:numPr>
        <w:spacing w:before="80" w:after="80"/>
      </w:pPr>
      <w:r>
        <w:rPr>
          <w:i/>
          <w:iCs/>
          <w:sz w:val="22"/>
          <w:szCs w:val="22"/>
        </w:rPr>
        <w:t xml:space="preserve">Veber, D.F. et al. (2002). Molecular properties that influence the oral bioavailability of drug candidates. Journal of Medicinal Chemistry, 45(12), 2615-2623.</w:t>
      </w:r>
    </w:p>
    <w:p>
      <w:pPr>
        <w:pStyle w:val="ListParagraph"/>
        <w:numPr>
          <w:ilvl w:val="0"/>
          <w:numId w:val="3"/>
        </w:numPr>
        <w:spacing w:before="80" w:after="80"/>
      </w:pPr>
      <w:r>
        <w:rPr>
          <w:i/>
          <w:iCs/>
          <w:sz w:val="22"/>
          <w:szCs w:val="22"/>
        </w:rPr>
        <w:t xml:space="preserve">Ertl, P. et al. (2000). Fast calculation of molecular polar surface area as a sum of fragment-based contributions and its application to the prediction of drug transport properties. Journal of Medicinal Chemistry, 43(20), 3714-3717.</w:t>
      </w:r>
    </w:p>
    <w:p>
      <w:pPr>
        <w:pStyle w:val="ListParagraph"/>
        <w:numPr>
          <w:ilvl w:val="0"/>
          <w:numId w:val="3"/>
        </w:numPr>
        <w:spacing w:before="80" w:after="80"/>
      </w:pPr>
      <w:r>
        <w:rPr>
          <w:i/>
          <w:iCs/>
          <w:sz w:val="22"/>
          <w:szCs w:val="22"/>
        </w:rPr>
        <w:t xml:space="preserve">Trott, O. &amp; Olson, A.J. (2010). AutoDock Vina: improving the speed and accuracy of docking with a new scoring function, efficient optimization, and multithreading. Journal of Computational Chemistry, 31(2), 455-461.</w:t>
      </w:r>
    </w:p>
    <w:p>
      <w:pPr>
        <w:pStyle w:val="ListParagraph"/>
        <w:numPr>
          <w:ilvl w:val="0"/>
          <w:numId w:val="3"/>
        </w:numPr>
        <w:spacing w:before="80" w:after="80"/>
      </w:pPr>
      <w:r>
        <w:rPr>
          <w:i/>
          <w:iCs/>
          <w:sz w:val="22"/>
          <w:szCs w:val="22"/>
        </w:rPr>
        <w:t xml:space="preserve">Riniker, S. &amp; Landrum, G.A. (2015). Better informed distance geometry: using what we know to improve conformation generation. Journal of Chemical Information and Modeling, 55(12), 2562-2574. [ETKDG]</w:t>
      </w:r>
    </w:p>
    <w:p>
      <w:pPr>
        <w:pStyle w:val="ListParagraph"/>
        <w:numPr>
          <w:ilvl w:val="0"/>
          <w:numId w:val="3"/>
        </w:numPr>
        <w:spacing w:before="80" w:after="80"/>
      </w:pPr>
      <w:r>
        <w:rPr>
          <w:i/>
          <w:iCs/>
          <w:sz w:val="22"/>
          <w:szCs w:val="22"/>
        </w:rPr>
        <w:t xml:space="preserve">Landrum, G. et al. RDKit: Open-source cheminformatics. https://www.rdkit.org</w:t>
      </w:r>
    </w:p>
    <w:p>
      <w:pPr>
        <w:spacing w:before="0" w:after="0"/>
      </w:pPr>
      <w:r>
        <w:t xml:space="preserve"/>
      </w:r>
    </w:p>
    <w:p>
      <w:pPr>
        <w:spacing w:before="0" w:after="0"/>
      </w:pPr>
      <w:r>
        <w:t xml:space="preserve"/>
      </w:r>
    </w:p>
    <w:p>
      <w:pPr>
        <w:pBdr>
          <w:top w:val="single" w:color="2E86C1" w:sz="4" w:space="1"/>
        </w:pBdr>
        <w:spacing w:before="200" w:after="0"/>
        <w:jc w:val="center"/>
      </w:pPr>
      <w:r>
        <w:rPr>
          <w:i/>
          <w:iCs/>
          <w:color w:val="566573"/>
          <w:sz w:val="18"/>
          <w:szCs w:val="18"/>
        </w:rPr>
        <w:t xml:space="preserve">MolDesign — Documento Técnico v1.0 — 2026 — Confidencial</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360"/>
      </w:tabs>
    </w:pPr>
    <w:r>
      <w:rPr>
        <w:color w:val="566573"/>
        <w:sz w:val="18"/>
        <w:szCs w:val="18"/>
      </w:rPr>
      <w:t xml:space="preserve">MolDesign — Documento Técnico</w:t>
    </w:r>
    <w:r>
      <w:rPr>
        <w:sz w:val="18"/>
        <w:szCs w:val="18"/>
      </w:rPr>
      <w:t xml:space="preserve">	</w:t>
    </w:r>
    <w:r>
      <w:rPr>
        <w:color w:val="566573"/>
        <w:sz w:val="18"/>
        <w:szCs w:val="18"/>
      </w:rPr>
      <w:t xml:space="preserve">Página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4"/>
      <w:szCs w:val="34"/>
    </w:rPr>
  </w:style>
  <w:style w:type="paragraph" w:styleId="Heading2">
    <w:name w:val="Heading 2"/>
    <w:basedOn w:val="Normal"/>
    <w:next w:val="Normal"/>
    <w:qFormat/>
    <w:pPr>
      <w:spacing w:before="30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D83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2026-04-01T02:23:40.466Z</dcterms:created>
  <dcterms:modified xsi:type="dcterms:W3CDTF">2026-04-01T02:23:40.467Z</dcterms:modified>
</cp:coreProperties>
</file>

<file path=docProps/custom.xml><?xml version="1.0" encoding="utf-8"?>
<Properties xmlns="http://schemas.openxmlformats.org/officeDocument/2006/custom-properties" xmlns:vt="http://schemas.openxmlformats.org/officeDocument/2006/docPropsVTypes"/>
</file>