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alibri" w:cs="Calibri" w:eastAsia="Calibri" w:hAnsi="Calibri"/>
          <w:b/>
          <w:bCs/>
          <w:color w:val="1B2A4A"/>
          <w:sz w:val="48"/>
          <w:szCs w:val="48"/>
        </w:rPr>
        <w:t xml:space="preserve">Asset Allocation Backtest</w:t>
      </w:r>
    </w:p>
    <w:p>
      <w:pPr>
        <w:spacing w:after="80"/>
      </w:pPr>
      <w:r>
        <w:rPr>
          <w:rFonts w:ascii="Calibri" w:cs="Calibri" w:eastAsia="Calibri" w:hAnsi="Calibri"/>
          <w:color w:val="0E7C86"/>
          <w:sz w:val="32"/>
          <w:szCs w:val="32"/>
        </w:rPr>
        <w:t xml:space="preserve">Project Detail Document</w:t>
      </w:r>
    </w:p>
    <w:p>
      <w:pPr>
        <w:spacing w:after="120"/>
        <w:rPr>
          <w:color w:val="555555"/>
        </w:rPr>
      </w:pPr>
      <w:r>
        <w:rPr>
          <w:rFonts w:ascii="Calibri" w:cs="Calibri" w:eastAsia="Calibri" w:hAnsi="Calibri"/>
          <w:color w:val="555555"/>
        </w:rPr>
        <w:t xml:space="preserve">Nifty / Gold / Bonds / Cash portfolio backtesting tool, month-by-month calculation on live TradeEntry API data. FastAPI backend + React/TypeScript/Tailwind frontend.</w:t>
      </w:r>
    </w:p>
    <w:p>
      <w:pPr>
        <w:pStyle w:val="Heading1"/>
        <w:spacing w:after="160" w:before="360"/>
      </w:pPr>
      <w:r>
        <w:rPr>
          <w:rFonts w:ascii="Calibri" w:cs="Calibri" w:eastAsia="Calibri" w:hAnsi="Calibri"/>
          <w:b/>
          <w:bCs/>
          <w:color w:val="1B2A4A"/>
          <w:sz w:val="30"/>
          <w:szCs w:val="30"/>
        </w:rPr>
        <w:t xml:space="preserve">1. Overview</w:t>
      </w:r>
    </w:p>
    <w:p>
      <w:pPr>
        <w:spacing w:after="120"/>
      </w:pPr>
      <w:r>
        <w:rPr>
          <w:rFonts w:ascii="Calibri" w:cs="Calibri" w:eastAsia="Calibri" w:hAnsi="Calibri"/>
        </w:rPr>
        <w:t xml:space="preserve">This project backtests an Indian asset-allocation portfolio split across Nifty 50 (equity), Gold, Bonds and hand cash (Midcap and Smallcap are supported by the code but hidden in the UI), using real historical Indian market data. It shows both the nominal (rupee) value and the inflation-adjusted (real) value of the portfolio, compared against 100% in each single asset and against inflation itself.</w:t>
      </w:r>
    </w:p>
    <w:p>
      <w:pPr>
        <w:spacing w:after="120"/>
      </w:pPr>
      <w:r>
        <w:rPr>
          <w:rFonts w:ascii="Calibri" w:cs="Calibri" w:eastAsia="Calibri" w:hAnsi="Calibri"/>
        </w:rPr>
        <w:t xml:space="preserve">The app shows monthly data: money is put in at a month-end close and held, and each month is one step (money in at the Dec 1995 close, returns from 1996-01 to the last complete month, currently 2026-09). The API can also value everything at December closes only (frequency yearly). All market data comes live from the TradeEntry API and is kept in memory only; nothing is read from or saved to disk.</w:t>
      </w:r>
    </w:p>
    <w:p>
      <w:pPr>
        <w:spacing w:after="120"/>
      </w:pPr>
      <w:r>
        <w:rPr>
          <w:rFonts w:ascii="Calibri" w:cs="Calibri" w:eastAsia="Calibri" w:hAnsi="Calibri"/>
        </w:rPr>
        <w:t xml:space="preserve">The calculation core is a single shared Python module, used identically by a command-line tool, a FastAPI web backend and the automated test suite, so the CLI, the API and the tests cannot drift apart in their numbers. The Excel workbook mirrors the same math with live formulas.</w:t>
      </w:r>
    </w:p>
    <w:p>
      <w:pPr>
        <w:pStyle w:val="Heading1"/>
        <w:spacing w:after="160" w:before="360"/>
      </w:pPr>
      <w:r>
        <w:rPr>
          <w:rFonts w:ascii="Calibri" w:cs="Calibri" w:eastAsia="Calibri" w:hAnsi="Calibri"/>
          <w:b/>
          <w:bCs/>
          <w:color w:val="1B2A4A"/>
          <w:sz w:val="30"/>
          <w:szCs w:val="30"/>
        </w:rPr>
        <w:t xml:space="preserve">2.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Layer</w:t>
            </w:r>
          </w:p>
        </w:tc>
        <w:tc>
          <w:tcPr>
            <w:tcW w:type="dxa" w:w="708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Technology</w:t>
            </w:r>
          </w:p>
        </w:tc>
      </w:tr>
      <w:tr>
        <w:trPr>
          <w:tblHeader w:val="off"/>
        </w:trPr>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Calculation core</w:t>
            </w:r>
          </w:p>
        </w:tc>
        <w:tc>
          <w:tcPr>
            <w:tcW w:type="dxa" w:w="70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Python 3.11+ (asset_allocation_backtest.py)</w:t>
            </w:r>
          </w:p>
        </w:tc>
      </w:tr>
      <w:tr>
        <w:trPr>
          <w:tblHeader w:val="off"/>
        </w:trPr>
        <w:tc>
          <w:tcPr>
            <w:tcW w:type="dxa" w:w="30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Data source</w:t>
            </w:r>
          </w:p>
        </w:tc>
        <w:tc>
          <w:tcPr>
            <w:tcW w:type="dxa" w:w="70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TradeEntry API via api_data.py (requests), token in the TRADEENTRY_TOKEN environment variable</w:t>
            </w:r>
          </w:p>
        </w:tc>
      </w:tr>
      <w:tr>
        <w:trPr>
          <w:tblHeader w:val="off"/>
        </w:trPr>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Backend API</w:t>
            </w:r>
          </w:p>
        </w:tc>
        <w:tc>
          <w:tcPr>
            <w:tcW w:type="dxa" w:w="70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FastAPI + Pydantic + Uvicorn</w:t>
            </w:r>
          </w:p>
        </w:tc>
      </w:tr>
      <w:tr>
        <w:trPr>
          <w:tblHeader w:val="off"/>
        </w:trPr>
        <w:tc>
          <w:tcPr>
            <w:tcW w:type="dxa" w:w="30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Frontend</w:t>
            </w:r>
          </w:p>
        </w:tc>
        <w:tc>
          <w:tcPr>
            <w:tcW w:type="dxa" w:w="70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React + TypeScript + Vite</w:t>
            </w:r>
          </w:p>
        </w:tc>
      </w:tr>
      <w:tr>
        <w:trPr>
          <w:tblHeader w:val="off"/>
        </w:trPr>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Styling</w:t>
            </w:r>
          </w:p>
        </w:tc>
        <w:tc>
          <w:tcPr>
            <w:tcW w:type="dxa" w:w="70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Tailwind CSS v4 (dark navy / cyan theme)</w:t>
            </w:r>
          </w:p>
        </w:tc>
      </w:tr>
      <w:tr>
        <w:trPr>
          <w:tblHeader w:val="off"/>
        </w:trPr>
        <w:tc>
          <w:tcPr>
            <w:tcW w:type="dxa" w:w="30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Charts</w:t>
            </w:r>
          </w:p>
        </w:tc>
        <w:tc>
          <w:tcPr>
            <w:tcW w:type="dxa" w:w="70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Recharts</w:t>
            </w:r>
          </w:p>
        </w:tc>
      </w:tr>
      <w:tr>
        <w:trPr>
          <w:tblHeader w:val="off"/>
        </w:trPr>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Downloads</w:t>
            </w:r>
          </w:p>
        </w:tc>
        <w:tc>
          <w:tcPr>
            <w:tcW w:type="dxa" w:w="70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write-excel-file (.xlsx) and jsPDF + jspdf-autotable (.pdf), generated in the browser</w:t>
            </w:r>
          </w:p>
        </w:tc>
      </w:tr>
      <w:tr>
        <w:trPr>
          <w:tblHeader w:val="off"/>
        </w:trPr>
        <w:tc>
          <w:tcPr>
            <w:tcW w:type="dxa" w:w="30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Testing</w:t>
            </w:r>
          </w:p>
        </w:tc>
        <w:tc>
          <w:tcPr>
            <w:tcW w:type="dxa" w:w="70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pytest (136 tests: backtest logic, monthly and December-only data, API endpoints; the live-data tests need the token)</w:t>
            </w:r>
          </w:p>
        </w:tc>
      </w:tr>
      <w:tr>
        <w:trPr>
          <w:tblHeader w:val="off"/>
        </w:trPr>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Excel deliverable</w:t>
            </w:r>
          </w:p>
        </w:tc>
        <w:tc>
          <w:tcPr>
            <w:tcW w:type="dxa" w:w="70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openpyxl (live-formula workbook), verified with the formulas Python library</w:t>
            </w:r>
          </w:p>
        </w:tc>
      </w:tr>
    </w:tbl>
    <w:p>
      <w:pPr>
        <w:pStyle w:val="Heading1"/>
        <w:spacing w:after="160" w:before="360"/>
      </w:pPr>
      <w:r>
        <w:rPr>
          <w:rFonts w:ascii="Calibri" w:cs="Calibri" w:eastAsia="Calibri" w:hAnsi="Calibri"/>
          <w:b/>
          <w:bCs/>
          <w:color w:val="1B2A4A"/>
          <w:sz w:val="30"/>
          <w:szCs w:val="30"/>
        </w:rPr>
        <w:t xml:space="preserve">3. Project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Path</w:t>
            </w:r>
          </w:p>
        </w:tc>
        <w:tc>
          <w:tcPr>
            <w:tcW w:type="dxa" w:w="648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Purpose</w:t>
            </w:r>
          </w:p>
        </w:tc>
      </w:tr>
      <w:tr>
        <w:trPr>
          <w:tblHeader w:val="off"/>
        </w:trPr>
        <w:tc>
          <w:tcPr>
            <w:tcW w:type="dxa" w:w="3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api_data.py</w:t>
            </w:r>
          </w:p>
        </w:tc>
        <w:tc>
          <w:tcPr>
            <w:tcW w:type="dxa" w:w="6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Live TradeEntry API client (Nifty, Midcap, Smallcap, MCX Gold, GOLDINR, economic series), memory only</w:t>
            </w:r>
          </w:p>
        </w:tc>
      </w:tr>
      <w:tr>
        <w:trPr>
          <w:tblHeader w:val="off"/>
        </w:trPr>
        <w:tc>
          <w:tcPr>
            <w:tcW w:type="dxa" w:w="3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asset_allocation_backtest.py</w:t>
            </w:r>
          </w:p>
        </w:tc>
        <w:tc>
          <w:tcPr>
            <w:tcW w:type="dxa" w:w="6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CLI tool and the calculation core: data loaders, to_annual(), simulate(), risk metrics</w:t>
            </w:r>
          </w:p>
        </w:tc>
      </w:tr>
      <w:tr>
        <w:trPr>
          <w:tblHeader w:val="off"/>
        </w:trPr>
        <w:tc>
          <w:tcPr>
            <w:tcW w:type="dxa" w:w="3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server.py</w:t>
            </w:r>
          </w:p>
        </w:tc>
        <w:tc>
          <w:tcPr>
            <w:tcW w:type="dxa" w:w="6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FastAPI backend, imports the core module's functions directly</w:t>
            </w:r>
          </w:p>
        </w:tc>
      </w:tr>
      <w:tr>
        <w:trPr>
          <w:tblHeader w:val="off"/>
        </w:trPr>
        <w:tc>
          <w:tcPr>
            <w:tcW w:type="dxa" w:w="3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scripts/nse_index_history.py</w:t>
            </w:r>
          </w:p>
        </w:tc>
        <w:tc>
          <w:tcPr>
            <w:tcW w:type="dxa" w:w="6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Stand-alone tool to download NSE index history to CSV (not used by the app)</w:t>
            </w:r>
          </w:p>
        </w:tc>
      </w:tr>
      <w:tr>
        <w:trPr>
          <w:tblHeader w:val="off"/>
        </w:trPr>
        <w:tc>
          <w:tcPr>
            <w:tcW w:type="dxa" w:w="3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tests/</w:t>
            </w:r>
          </w:p>
        </w:tc>
        <w:tc>
          <w:tcPr>
            <w:tcW w:type="dxa" w:w="6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pytest suite for the backtest logic and the API endpoints</w:t>
            </w:r>
          </w:p>
        </w:tc>
      </w:tr>
      <w:tr>
        <w:trPr>
          <w:tblHeader w:val="off"/>
        </w:trPr>
        <w:tc>
          <w:tcPr>
            <w:tcW w:type="dxa" w:w="3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requirements.txt</w:t>
            </w:r>
          </w:p>
        </w:tc>
        <w:tc>
          <w:tcPr>
            <w:tcW w:type="dxa" w:w="6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Backend Python dependencies</w:t>
            </w:r>
          </w:p>
        </w:tc>
      </w:tr>
      <w:tr>
        <w:trPr>
          <w:tblHeader w:val="off"/>
        </w:trPr>
        <w:tc>
          <w:tcPr>
            <w:tcW w:type="dxa" w:w="3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package.json</w:t>
            </w:r>
          </w:p>
        </w:tc>
        <w:tc>
          <w:tcPr>
            <w:tcW w:type="dxa" w:w="6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Root scripts: npm run dev starts backend + frontend together</w:t>
            </w:r>
          </w:p>
        </w:tc>
      </w:tr>
      <w:tr>
        <w:trPr>
          <w:tblHeader w:val="off"/>
        </w:trPr>
        <w:tc>
          <w:tcPr>
            <w:tcW w:type="dxa" w:w="3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web/src/App.tsx</w:t>
            </w:r>
          </w:p>
        </w:tc>
        <w:tc>
          <w:tcPr>
            <w:tcW w:type="dxa" w:w="6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Main UI: allocation sliders, period picker, charts, tables, Rebalance page</w:t>
            </w:r>
          </w:p>
        </w:tc>
      </w:tr>
      <w:tr>
        <w:trPr>
          <w:tblHeader w:val="off"/>
        </w:trPr>
        <w:tc>
          <w:tcPr>
            <w:tcW w:type="dxa" w:w="3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web/src/api.ts</w:t>
            </w:r>
          </w:p>
        </w:tc>
        <w:tc>
          <w:tcPr>
            <w:tcW w:type="dxa" w:w="6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Fetches /api/range and /api/backtest from the backend</w:t>
            </w:r>
          </w:p>
        </w:tc>
      </w:tr>
      <w:tr>
        <w:trPr>
          <w:tblHeader w:val="off"/>
        </w:trPr>
        <w:tc>
          <w:tcPr>
            <w:tcW w:type="dxa" w:w="3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web/src/exportYearly.ts</w:t>
            </w:r>
          </w:p>
        </w:tc>
        <w:tc>
          <w:tcPr>
            <w:tcW w:type="dxa" w:w="6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Excel / PDF download helpers</w:t>
            </w:r>
          </w:p>
        </w:tc>
      </w:tr>
      <w:tr>
        <w:trPr>
          <w:tblHeader w:val="off"/>
        </w:trPr>
        <w:tc>
          <w:tcPr>
            <w:tcW w:type="dxa" w:w="3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web/vite.config.ts</w:t>
            </w:r>
          </w:p>
        </w:tc>
        <w:tc>
          <w:tcPr>
            <w:tcW w:type="dxa" w:w="6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Dev server; proxies /api/* to the backend on :8000</w:t>
            </w:r>
          </w:p>
        </w:tc>
      </w:tr>
      <w:tr>
        <w:trPr>
          <w:tblHeader w:val="off"/>
        </w:trPr>
        <w:tc>
          <w:tcPr>
            <w:tcW w:type="dxa" w:w="3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calculation.xlsx</w:t>
            </w:r>
          </w:p>
        </w:tc>
        <w:tc>
          <w:tcPr>
            <w:tcW w:type="dxa" w:w="6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Excel workbook mirroring the app's monthly math with live formulas</w:t>
            </w:r>
          </w:p>
        </w:tc>
      </w:tr>
      <w:tr>
        <w:trPr>
          <w:tblHeader w:val="off"/>
        </w:trPr>
        <w:tc>
          <w:tcPr>
            <w:tcW w:type="dxa" w:w="3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docs/</w:t>
            </w:r>
          </w:p>
        </w:tc>
        <w:tc>
          <w:tcPr>
            <w:tcW w:type="dxa" w:w="6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This document</w:t>
            </w:r>
          </w:p>
        </w:tc>
      </w:tr>
    </w:tbl>
    <w:p>
      <w:pPr>
        <w:pStyle w:val="Heading1"/>
        <w:spacing w:after="160" w:before="360"/>
      </w:pPr>
      <w:r>
        <w:rPr>
          <w:rFonts w:ascii="Calibri" w:cs="Calibri" w:eastAsia="Calibri" w:hAnsi="Calibri"/>
          <w:b/>
          <w:bCs/>
          <w:color w:val="1B2A4A"/>
          <w:sz w:val="30"/>
          <w:szCs w:val="30"/>
        </w:rPr>
        <w:t xml:space="preserve">4. Data Sources (TradeEntry API)</w:t>
      </w:r>
    </w:p>
    <w:p>
      <w:pPr>
        <w:spacing w:after="120"/>
      </w:pPr>
      <w:r>
        <w:rPr>
          <w:rFonts w:ascii="Calibri" w:cs="Calibri" w:eastAsia="Calibri" w:hAnsi="Calibri"/>
        </w:rPr>
        <w:t xml:space="preserve">Everything is fetched when the server (or the CLI) starts and held in memory. The token is read from the TRADEENTRY_TOKEN environment variable and is never written to a file. If the token is missing or the site is unreachable, the backend answers 503 with a clear message and the UI shows it. There is no local data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780"/>
      </w:tblGrid>
      <w:tr>
        <w:trPr>
          <w:tblHeader/>
        </w:trPr>
        <w:tc>
          <w:tcPr>
            <w:tcW w:type="dxa" w:w="33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Series</w:t>
            </w:r>
          </w:p>
        </w:tc>
        <w:tc>
          <w:tcPr>
            <w:tcW w:type="dxa" w:w="30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API endpoint</w:t>
            </w:r>
          </w:p>
        </w:tc>
        <w:tc>
          <w:tcPr>
            <w:tcW w:type="dxa" w:w="378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Used for</w:t>
            </w:r>
          </w:p>
        </w:tc>
      </w:tr>
      <w:tr>
        <w:trPr>
          <w:tblHeader w:val="off"/>
        </w:trPr>
        <w:tc>
          <w:tcPr>
            <w:tcW w:type="dxa" w:w="33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Nifty 50, 1991 on</w:t>
            </w:r>
          </w:p>
        </w:tc>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/chart-data (NIFTY)</w:t>
            </w:r>
          </w:p>
        </w:tc>
        <w:tc>
          <w:tcPr>
            <w:tcW w:type="dxa" w:w="37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Nifty December close</w:t>
            </w:r>
          </w:p>
        </w:tc>
      </w:tr>
      <w:tr>
        <w:trPr>
          <w:tblHeader w:val="off"/>
        </w:trPr>
        <w:tc>
          <w:tcPr>
            <w:tcW w:type="dxa" w:w="33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NIFTY Midcap 150 and Smallcap 250, 2005-04 on</w:t>
            </w:r>
          </w:p>
        </w:tc>
        <w:tc>
          <w:tcPr>
            <w:tcW w:type="dxa" w:w="30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/chart-data</w:t>
            </w:r>
          </w:p>
        </w:tc>
        <w:tc>
          <w:tcPr>
            <w:tcW w:type="dxa" w:w="37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Midcap / Smallcap (hidden in the UI)</w:t>
            </w:r>
          </w:p>
        </w:tc>
      </w:tr>
      <w:tr>
        <w:trPr>
          <w:tblHeader w:val="off"/>
        </w:trPr>
        <w:tc>
          <w:tcPr>
            <w:tcW w:type="dxa" w:w="33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MCX Gold spot, INR/10g, 2005-06 on</w:t>
            </w:r>
          </w:p>
        </w:tc>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/mcx-chart/spot-chart</w:t>
            </w:r>
          </w:p>
        </w:tc>
        <w:tc>
          <w:tcPr>
            <w:tcW w:type="dxa" w:w="37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Gold from 2005, x 1.03 GST</w:t>
            </w:r>
          </w:p>
        </w:tc>
      </w:tr>
      <w:tr>
        <w:trPr>
          <w:tblHeader w:val="off"/>
        </w:trPr>
        <w:tc>
          <w:tcPr>
            <w:tcW w:type="dxa" w:w="33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GOLDINR (global gold in INR/10g)</w:t>
            </w:r>
          </w:p>
        </w:tc>
        <w:tc>
          <w:tcPr>
            <w:tcW w:type="dxa" w:w="30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/global-chart/chart</w:t>
            </w:r>
          </w:p>
        </w:tc>
        <w:tc>
          <w:tcPr>
            <w:tcW w:type="dxa" w:w="37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Month-end closes 1995-12 to 2005-05, x matching factor x 1.03</w:t>
            </w:r>
          </w:p>
        </w:tc>
      </w:tr>
      <w:tr>
        <w:trPr>
          <w:tblHeader w:val="off"/>
        </w:trPr>
        <w:tc>
          <w:tcPr>
            <w:tcW w:type="dxa" w:w="33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SBI 1-2yr FD rate, year-end, 1999 on</w:t>
            </w:r>
          </w:p>
        </w:tc>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/economic-data/series/in_fixed_deposit_rate</w:t>
            </w:r>
          </w:p>
        </w:tc>
        <w:tc>
          <w:tcPr>
            <w:tcW w:type="dxa" w:w="37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Bonds 1996-2011 and the Sharpe risk-free rate</w:t>
            </w:r>
          </w:p>
        </w:tc>
      </w:tr>
      <w:tr>
        <w:trPr>
          <w:tblHeader w:val="off"/>
        </w:trPr>
        <w:tc>
          <w:tcPr>
            <w:tcW w:type="dxa" w:w="33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NIFTY Composite G-sec Index, 2015-10 on</w:t>
            </w:r>
          </w:p>
        </w:tc>
        <w:tc>
          <w:tcPr>
            <w:tcW w:type="dxa" w:w="30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/economic-data/series/INDIA_GSEC_COMPOSITE</w:t>
            </w:r>
          </w:p>
        </w:tc>
        <w:tc>
          <w:tcPr>
            <w:tcW w:type="dxa" w:w="37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Bonds 2015-2025</w:t>
            </w:r>
          </w:p>
        </w:tc>
      </w:tr>
      <w:tr>
        <w:trPr>
          <w:tblHeader w:val="off"/>
        </w:trPr>
        <w:tc>
          <w:tcPr>
            <w:tcW w:type="dxa" w:w="33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India CPI inflation, annual %, 1996-2025 (2026 repeats the 2025 rate)</w:t>
            </w:r>
          </w:p>
        </w:tc>
        <w:tc>
          <w:tcPr>
            <w:tcW w:type="dxa" w:w="30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/economic-data/series/CPI_India_Annual</w:t>
            </w:r>
          </w:p>
        </w:tc>
        <w:tc>
          <w:tcPr>
            <w:tcW w:type="dxa" w:w="37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Inflation</w:t>
            </w:r>
          </w:p>
        </w:tc>
      </w:tr>
    </w:tbl>
    <w:p>
      <w:pPr>
        <w:pStyle w:val="Heading2"/>
        <w:spacing w:after="120" w:before="260"/>
      </w:pPr>
      <w:r>
        <w:rPr>
          <w:rFonts w:ascii="Calibri" w:cs="Calibri" w:eastAsia="Calibri" w:hAnsi="Calibri"/>
          <w:b/>
          <w:bCs/>
          <w:color w:val="0E7C86"/>
          <w:sz w:val="25"/>
          <w:szCs w:val="25"/>
        </w:rPr>
        <w:t xml:space="preserve">Known data gaps (handled explicitly, not silently)</w:t>
      </w:r>
    </w:p>
    <w:p>
      <w:pPr>
        <w:pStyle w:val="ListParagraph"/>
        <w:numPr>
          <w:ilvl w:val="0"/>
          <w:numId w:val="2"/>
        </w:numPr>
        <w:spacing w:after="80"/>
      </w:pPr>
      <w:r>
        <w:rPr>
          <w:rFonts w:ascii="Calibri" w:cs="Calibri" w:eastAsia="Calibri" w:hAnsi="Calibri"/>
        </w:rPr>
        <w:t xml:space="preserve">The usable range is 1996-01 to the last complete month (2026-09); money goes in at the December 1995 close. The API's inflation series covers 1996-2025, so 2026 repeats the 2025 rate (2.40%).</w:t>
      </w:r>
    </w:p>
    <w:p>
      <w:pPr>
        <w:pStyle w:val="ListParagraph"/>
        <w:numPr>
          <w:ilvl w:val="0"/>
          <w:numId w:val="2"/>
        </w:numPr>
        <w:spacing w:after="80"/>
      </w:pPr>
      <w:r>
        <w:rPr>
          <w:rFonts w:ascii="Calibri" w:cs="Calibri" w:eastAsia="Calibri" w:hAnsi="Calibri"/>
        </w:rPr>
        <w:t xml:space="preserve">Gold before 2005-06: only each December's GOLDINR close is used (Dec 1995 is the buy), multiplied by a matching factor (MCX / GOLDINR on 2005-06-30, about 1.028) so it joins MCX with no jump.</w:t>
      </w:r>
    </w:p>
    <w:p>
      <w:pPr>
        <w:pStyle w:val="ListParagraph"/>
        <w:numPr>
          <w:ilvl w:val="0"/>
          <w:numId w:val="2"/>
        </w:numPr>
        <w:spacing w:after="80"/>
      </w:pPr>
      <w:r>
        <w:rPr>
          <w:rFonts w:ascii="Calibri" w:cs="Calibri" w:eastAsia="Calibri" w:hAnsi="Calibri"/>
        </w:rPr>
        <w:t xml:space="preserve">Gold is the India rate: the MCX price already carries the import duty, and 3% GST is added (a constant 1.03, so it changes no return, only the rupee-per-gram prices).</w:t>
      </w:r>
    </w:p>
    <w:p>
      <w:pPr>
        <w:pStyle w:val="ListParagraph"/>
        <w:numPr>
          <w:ilvl w:val="0"/>
          <w:numId w:val="2"/>
        </w:numPr>
        <w:spacing w:after="80"/>
      </w:pPr>
      <w:r>
        <w:rPr>
          <w:rFonts w:ascii="Calibri" w:cs="Calibri" w:eastAsia="Calibri" w:hAnsi="Calibri"/>
        </w:rPr>
        <w:t xml:space="preserve">Bonds: the SBI series starts in 1999, so its first value (9.00%) is applied to 1996-98; it has no data for 2012-2014, so the 2011 rate (9.25%) is applied; the G-sec index starts on 2015-10-13, so the 2015 return runs from that first close to December (about 0.6%).</w:t>
      </w:r>
    </w:p>
    <w:p>
      <w:pPr>
        <w:pStyle w:val="ListParagraph"/>
        <w:numPr>
          <w:ilvl w:val="0"/>
          <w:numId w:val="2"/>
        </w:numPr>
        <w:spacing w:after="80"/>
      </w:pPr>
      <w:r>
        <w:rPr>
          <w:rFonts w:ascii="Calibri" w:cs="Calibri" w:eastAsia="Calibri" w:hAnsi="Calibri"/>
        </w:rPr>
        <w:t xml:space="preserve">Midcap and Smallcap did not exist before 2005-04; they are held flat (0%) until then.</w:t>
      </w:r>
    </w:p>
    <w:p>
      <w:pPr>
        <w:pStyle w:val="ListParagraph"/>
        <w:numPr>
          <w:ilvl w:val="0"/>
          <w:numId w:val="2"/>
        </w:numPr>
        <w:spacing w:after="80"/>
      </w:pPr>
      <w:r>
        <w:rPr>
          <w:rFonts w:ascii="Calibri" w:cs="Calibri" w:eastAsia="Calibri" w:hAnsi="Calibri"/>
        </w:rPr>
        <w:t xml:space="preserve">The FD rate for the Sharpe risk-free rate is the SBI series with the missing years (2012-2018, 2020-2022) filled by linear interpolation.</w:t>
      </w:r>
    </w:p>
    <w:p>
      <w:pPr>
        <w:pStyle w:val="Heading1"/>
        <w:spacing w:after="160" w:before="360"/>
      </w:pPr>
      <w:r>
        <w:rPr>
          <w:rFonts w:ascii="Calibri" w:cs="Calibri" w:eastAsia="Calibri" w:hAnsi="Calibri"/>
          <w:b/>
          <w:bCs/>
          <w:color w:val="1B2A4A"/>
          <w:sz w:val="30"/>
          <w:szCs w:val="30"/>
        </w:rPr>
        <w:t xml:space="preserve">5. How the Calculation Works</w:t>
      </w:r>
    </w:p>
    <w:p>
      <w:pPr>
        <w:spacing w:after="120"/>
      </w:pPr>
      <w:r>
        <w:rPr>
          <w:rFonts w:ascii="Calibri" w:cs="Calibri" w:eastAsia="Calibri" w:hAnsi="Calibri"/>
        </w:rPr>
        <w:t xml:space="preserve">The UI shows monthly data. Money is put in at the month-end close before the first month and held (never sold); each month is one step. The API can also value everything at December closes only (frequency yearly, to_annual() in asset_allocation_backtest.py: one step per year, December to December). With no rebalancing both give identical values at every December (a test checks this); the December-only option was removed from the UI.</w:t>
      </w:r>
    </w:p>
    <w:p>
      <w:pPr>
        <w:pStyle w:val="ListParagraph"/>
        <w:numPr>
          <w:ilvl w:val="0"/>
          <w:numId w:val="2"/>
        </w:numPr>
        <w:spacing w:after="80"/>
      </w:pPr>
      <w:r>
        <w:rPr>
          <w:rFonts w:ascii="Calibri" w:cs="Calibri" w:eastAsia="Calibri" w:hAnsi="Calibri"/>
        </w:rPr>
        <w:t xml:space="preserve">Nifty and Gold: the return of a month = month-end close / previous month-end close - 1. Gold is the MCX price in rupees per gram plus 3% GST.</w:t>
      </w:r>
    </w:p>
    <w:p>
      <w:pPr>
        <w:pStyle w:val="ListParagraph"/>
        <w:numPr>
          <w:ilvl w:val="0"/>
          <w:numId w:val="2"/>
        </w:numPr>
        <w:spacing w:after="80"/>
      </w:pPr>
      <w:r>
        <w:rPr>
          <w:rFonts w:ascii="Calibri" w:cs="Calibri" w:eastAsia="Calibri" w:hAnsi="Calibri"/>
        </w:rPr>
        <w:t xml:space="preserve">One API date error is corrected for Nifty: on Budget day 1997 the API shows a stray 998.65 under 1997-02-28 and the real close, 1053.55 (+6.1%), under 1997-03-01 (Nifty 500 and the Nifty50 USD index show the same jump), so February 1997 uses 1053.55. Only that month changes; no December value does.</w:t>
      </w:r>
    </w:p>
    <w:p>
      <w:pPr>
        <w:pStyle w:val="ListParagraph"/>
        <w:numPr>
          <w:ilvl w:val="0"/>
          <w:numId w:val="2"/>
        </w:numPr>
        <w:spacing w:after="80"/>
      </w:pPr>
      <w:r>
        <w:rPr>
          <w:rFonts w:ascii="Calibri" w:cs="Calibri" w:eastAsia="Calibri" w:hAnsi="Calibri"/>
        </w:rPr>
        <w:t xml:space="preserve">The API's MCX gold price is frozen at 40,989 from 2020-03-20 to 2020-06-02 (49 days). The March, April and May 2020 month-ends (more than 5% off the global gold price) use an estimate instead: the global GOLDINR close times the MCX premium, interpolated between 2020-03-19 and 2020-06-03. Only those three months change; December values, the final value and the maximum drawdown do not.</w:t>
      </w:r>
    </w:p>
    <w:p>
      <w:pPr>
        <w:pStyle w:val="ListParagraph"/>
        <w:numPr>
          <w:ilvl w:val="0"/>
          <w:numId w:val="2"/>
        </w:numPr>
        <w:spacing w:after="80"/>
      </w:pPr>
      <w:r>
        <w:rPr>
          <w:rFonts w:ascii="Calibri" w:cs="Calibri" w:eastAsia="Calibri" w:hAnsi="Calibri"/>
        </w:rPr>
        <w:t xml:space="preserve">Bonds: one return per year (Jan to Dec), added once in December; the other months are 0%. Until 2011 the return is the SBI year-end FD rate (9.00% for 1996-98); 2012-2014 use the 2011 rate (9.25%); from 2015 it is the move of the NIFTY Composite G-sec Index (December close / previous December close - 1). 2026 runs from the 2025 December close to the last complete month and is added in that month.</w:t>
      </w:r>
    </w:p>
    <w:p>
      <w:pPr>
        <w:pStyle w:val="ListParagraph"/>
        <w:numPr>
          <w:ilvl w:val="0"/>
          <w:numId w:val="2"/>
        </w:numPr>
        <w:spacing w:after="80"/>
      </w:pPr>
      <w:r>
        <w:rPr>
          <w:rFonts w:ascii="Calibri" w:cs="Calibri" w:eastAsia="Calibri" w:hAnsi="Calibri"/>
        </w:rPr>
        <w:t xml:space="preserve">Cash: hand cash, 0% interest, stays at the amount put in.</w:t>
      </w:r>
    </w:p>
    <w:p>
      <w:pPr>
        <w:pStyle w:val="ListParagraph"/>
        <w:numPr>
          <w:ilvl w:val="0"/>
          <w:numId w:val="2"/>
        </w:numPr>
        <w:spacing w:after="80"/>
      </w:pPr>
      <w:r>
        <w:rPr>
          <w:rFonts w:ascii="Calibri" w:cs="Calibri" w:eastAsia="Calibri" w:hAnsi="Calibri"/>
        </w:rPr>
        <w:t xml:space="preserve">Inflation: the year's annual CPI rate from the API converted to an equal monthly rate, (1 + annual)^(1/12) - 1; 2026 repeats the 2025 rate. Real value = nominal value / cumulative inflation since the buy month.</w:t>
      </w:r>
    </w:p>
    <w:p>
      <w:pPr>
        <w:pStyle w:val="ListParagraph"/>
        <w:numPr>
          <w:ilvl w:val="0"/>
          <w:numId w:val="2"/>
        </w:numPr>
        <w:spacing w:after="80"/>
      </w:pPr>
      <w:r>
        <w:rPr>
          <w:rFonts w:ascii="Calibri" w:cs="Calibri" w:eastAsia="Calibri" w:hAnsi="Calibri"/>
        </w:rPr>
        <w:t xml:space="preserve">Allocation: Equity / Gold / Bonds (/ Midcap / Smallcap) are entered independently; Cash is always the remainder, so everything sums to 100%.</w:t>
      </w:r>
    </w:p>
    <w:p>
      <w:pPr>
        <w:pStyle w:val="ListParagraph"/>
        <w:numPr>
          <w:ilvl w:val="0"/>
          <w:numId w:val="2"/>
        </w:numPr>
        <w:spacing w:after="80"/>
      </w:pPr>
      <w:r>
        <w:rPr>
          <w:rFonts w:ascii="Calibri" w:cs="Calibri" w:eastAsia="Calibri" w:hAnsi="Calibri"/>
        </w:rPr>
        <w:t xml:space="preserve">Rebalancing (optional): a separate Rebalance page. Every December each asset's actual % is compared with its target; if any asset has drifted by more than the tolerance (5 points by default; 0, 5 or 10 selectable) all assets are reset to target, otherwise nothing is traded. Trade = target Rs - actual Rs (+ buy, - reduce).</w:t>
      </w:r>
    </w:p>
    <w:p>
      <w:pPr>
        <w:pStyle w:val="ListParagraph"/>
        <w:numPr>
          <w:ilvl w:val="0"/>
          <w:numId w:val="2"/>
        </w:numPr>
        <w:spacing w:after="80"/>
      </w:pPr>
      <w:r>
        <w:rPr>
          <w:rFonts w:ascii="Calibri" w:cs="Calibri" w:eastAsia="Calibri" w:hAnsi="Calibri"/>
        </w:rPr>
        <w:t xml:space="preserve">Risk metrics: volatility and Sharpe use the monthly portfolio values (annualised); drawdown is the fall from the previous peak.</w:t>
      </w:r>
    </w:p>
    <w:p>
      <w:pPr>
        <w:pStyle w:val="Heading2"/>
        <w:spacing w:after="120" w:before="260"/>
      </w:pPr>
      <w:r>
        <w:rPr>
          <w:rFonts w:ascii="Calibri" w:cs="Calibri" w:eastAsia="Calibri" w:hAnsi="Calibri"/>
          <w:b/>
          <w:bCs/>
          <w:color w:val="0E7C86"/>
          <w:sz w:val="25"/>
          <w:szCs w:val="25"/>
        </w:rPr>
        <w:t xml:space="preserve">Example (Rs 2,00,000, Dec 1995 close to 2026-09)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980"/>
      </w:tblGrid>
      <w:tr>
        <w:trPr>
          <w:tblHeader/>
        </w:trPr>
        <w:tc>
          <w:tcPr>
            <w:tcW w:type="dxa" w:w="42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Allocation</w:t>
            </w:r>
          </w:p>
        </w:tc>
        <w:tc>
          <w:tcPr>
            <w:tcW w:type="dxa" w:w="29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Result</w:t>
            </w:r>
          </w:p>
        </w:tc>
        <w:tc>
          <w:tcPr>
            <w:tcW w:type="dxa" w:w="298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Note</w:t>
            </w:r>
          </w:p>
        </w:tc>
      </w:tr>
      <w:tr>
        <w:trPr>
          <w:tblHeader w:val="off"/>
        </w:trPr>
        <w:tc>
          <w:tcPr>
            <w:tcW w:type="dxa" w:w="42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Nifty 50 / Gold 30 / Bonds 15 / Cash 5 (default)</w:t>
            </w:r>
          </w:p>
        </w:tc>
        <w:tc>
          <w:tcPr>
            <w:tcW w:type="dxa" w:w="29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Rs 47,36,913 (after inflation Rs 7,53,118)</w:t>
            </w:r>
          </w:p>
        </w:tc>
        <w:tc>
          <w:tcPr>
            <w:tcW w:type="dxa" w:w="29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Buys 110.01 Nifty shares and 129.75 g of gold at the Dec 1995 close</w:t>
            </w:r>
          </w:p>
        </w:tc>
      </w:tr>
      <w:tr>
        <w:trPr>
          <w:tblHeader w:val="off"/>
        </w:trPr>
        <w:tc>
          <w:tcPr>
            <w:tcW w:type="dxa" w:w="42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Same, rebalancing every December (5-point band)</w:t>
            </w:r>
          </w:p>
        </w:tc>
        <w:tc>
          <w:tcPr>
            <w:tcW w:type="dxa" w:w="29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Rs 57,09,138</w:t>
            </w:r>
          </w:p>
        </w:tc>
        <w:tc>
          <w:tcPr>
            <w:tcW w:type="dxa" w:w="29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Rebalanced in 15 December reviews</w:t>
            </w:r>
          </w:p>
        </w:tc>
      </w:tr>
      <w:tr>
        <w:trPr>
          <w:tblHeader w:val="off"/>
        </w:trPr>
        <w:tc>
          <w:tcPr>
            <w:tcW w:type="dxa" w:w="42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100% in Bonds</w:t>
            </w:r>
          </w:p>
        </w:tc>
        <w:tc>
          <w:tcPr>
            <w:tcW w:type="dxa" w:w="29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Rs 17,70,965 at 2026-09</w:t>
            </w:r>
          </w:p>
        </w:tc>
        <w:tc>
          <w:tcPr>
            <w:tcW w:type="dxa" w:w="29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Rs 6,50,284 at the end of 2011</w:t>
            </w:r>
          </w:p>
        </w:tc>
      </w:tr>
    </w:tbl>
    <w:p>
      <w:pPr>
        <w:pStyle w:val="Heading1"/>
        <w:spacing w:after="160" w:before="360"/>
      </w:pPr>
      <w:r>
        <w:rPr>
          <w:rFonts w:ascii="Calibri" w:cs="Calibri" w:eastAsia="Calibri" w:hAnsi="Calibri"/>
          <w:b/>
          <w:bCs/>
          <w:color w:val="1B2A4A"/>
          <w:sz w:val="30"/>
          <w:szCs w:val="30"/>
        </w:rPr>
        <w:t xml:space="preserve">6. Backend API (server.py)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80"/>
      </w:tblGrid>
      <w:tr>
        <w:trPr>
          <w:tblHeader/>
        </w:trPr>
        <w:tc>
          <w:tcPr>
            <w:tcW w:type="dxa" w:w="22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Endpoint</w:t>
            </w:r>
          </w:p>
        </w:tc>
        <w:tc>
          <w:tcPr>
            <w:tcW w:type="dxa" w:w="14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Method</w:t>
            </w:r>
          </w:p>
        </w:tc>
        <w:tc>
          <w:tcPr>
            <w:tcW w:type="dxa" w:w="648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Purpose</w:t>
            </w:r>
          </w:p>
        </w:tc>
      </w:tr>
      <w:tr>
        <w:trPr>
          <w:tblHeader w:val="off"/>
        </w:trPr>
        <w:tc>
          <w:tcPr>
            <w:tcW w:type="dxa" w:w="22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/api/range</w:t>
            </w:r>
          </w:p>
        </w:tc>
        <w:tc>
          <w:tcPr>
            <w:tcW w:type="dxa" w:w="14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GET</w:t>
            </w:r>
          </w:p>
        </w:tc>
        <w:tc>
          <w:tcPr>
            <w:tcW w:type="dxa" w:w="6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{min, max, yearly_max}: the first and last month all data sources cover (1996-01, last complete month) and the last December</w:t>
            </w:r>
          </w:p>
        </w:tc>
      </w:tr>
      <w:tr>
        <w:trPr>
          <w:tblHeader w:val="off"/>
        </w:trPr>
        <w:tc>
          <w:tcPr>
            <w:tcW w:type="dxa" w:w="22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/api/backtest</w:t>
            </w:r>
          </w:p>
        </w:tc>
        <w:tc>
          <w:tcPr>
            <w:tcW w:type="dxa" w:w="14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POST</w:t>
            </w:r>
          </w:p>
        </w:tc>
        <w:tc>
          <w:tcPr>
            <w:tcW w:type="dxa" w:w="6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Body: capital, equity, gold, bonds, midcap, smallcap, start, end, rebalance, tolerance, frequency (yearly or monthly; the UI sends monthly). Returns one row per month (or per December), the rebalance events, risk metrics, market data, buy period and buy prices</w:t>
            </w:r>
          </w:p>
        </w:tc>
      </w:tr>
    </w:tbl>
    <w:p>
      <w:pPr>
        <w:spacing w:after="120"/>
      </w:pPr>
    </w:p>
    <w:p>
      <w:pPr>
        <w:spacing w:after="120"/>
      </w:pPr>
      <w:r>
        <w:rPr>
          <w:rFonts w:ascii="Calibri" w:cs="Calibri" w:eastAsia="Calibri" w:hAnsi="Calibri"/>
        </w:rPr>
        <w:t xml:space="preserve">Validation: capital must be greater than 0 and every weight between 0 and 100 (422 otherwise); tolerance 0 to 100; the start must not be after the end (400); allocation weights must not exceed 100% (400). If the token is missing or the API is unreachable the endpoints answer 503 with the reason.</w:t>
      </w:r>
    </w:p>
    <w:p>
      <w:pPr>
        <w:pStyle w:val="Heading1"/>
        <w:spacing w:after="160" w:before="360"/>
      </w:pPr>
      <w:r>
        <w:rPr>
          <w:rFonts w:ascii="Calibri" w:cs="Calibri" w:eastAsia="Calibri" w:hAnsi="Calibri"/>
          <w:b/>
          <w:bCs/>
          <w:color w:val="1B2A4A"/>
          <w:sz w:val="30"/>
          <w:szCs w:val="30"/>
        </w:rPr>
        <w:t xml:space="preserve">7. Frontend (web/)</w:t>
      </w:r>
    </w:p>
    <w:p>
      <w:pPr>
        <w:pStyle w:val="ListParagraph"/>
        <w:numPr>
          <w:ilvl w:val="0"/>
          <w:numId w:val="2"/>
        </w:numPr>
        <w:spacing w:after="80"/>
      </w:pPr>
      <w:r>
        <w:rPr>
          <w:rFonts w:ascii="Calibri" w:cs="Calibri" w:eastAsia="Calibri" w:hAnsi="Calibri"/>
        </w:rPr>
        <w:t xml:space="preserve">Stack: Vite + React + TypeScript + Tailwind CSS v4, charts via Recharts; dark navy background with a cyan accent.</w:t>
      </w:r>
    </w:p>
    <w:p>
      <w:pPr>
        <w:pStyle w:val="ListParagraph"/>
        <w:numPr>
          <w:ilvl w:val="0"/>
          <w:numId w:val="2"/>
        </w:numPr>
        <w:spacing w:after="80"/>
      </w:pPr>
      <w:r>
        <w:rPr>
          <w:rFonts w:ascii="Calibri" w:cs="Calibri" w:eastAsia="Calibri" w:hAnsi="Calibri"/>
        </w:rPr>
        <w:t xml:space="preserve">Live updates: every slider drag, period change or capital edit triggers a debounced (200 ms) call to /api/backtest, with in-flight request cancellation.</w:t>
      </w:r>
    </w:p>
    <w:p>
      <w:pPr>
        <w:pStyle w:val="ListParagraph"/>
        <w:numPr>
          <w:ilvl w:val="0"/>
          <w:numId w:val="2"/>
        </w:numPr>
        <w:spacing w:after="80"/>
      </w:pPr>
      <w:r>
        <w:rPr>
          <w:rFonts w:ascii="Calibri" w:cs="Calibri" w:eastAsia="Calibri" w:hAnsi="Calibri"/>
        </w:rPr>
        <w:t xml:space="preserve">Allocation sliders (Equity, Gold, Bonds) auto-constrain each other; Cash is a read-only computed field. Midcap and Smallcap are hidden (flag SHOW_MIDSMALL in App.tsx). Default: Nifty 50 / Gold 30 / Bonds 15 / Cash 5.</w:t>
      </w:r>
    </w:p>
    <w:p>
      <w:pPr>
        <w:pStyle w:val="ListParagraph"/>
        <w:numPr>
          <w:ilvl w:val="0"/>
          <w:numId w:val="2"/>
        </w:numPr>
        <w:spacing w:after="80"/>
      </w:pPr>
      <w:r>
        <w:rPr>
          <w:rFonts w:ascii="Calibri" w:cs="Calibri" w:eastAsia="Calibri" w:hAnsi="Calibri"/>
        </w:rPr>
        <w:t xml:space="preserve">Period: Start/End month and year dropdowns (1996-01 to 2026-09); the money goes in once at the month-end close before the Start month.</w:t>
      </w:r>
    </w:p>
    <w:p>
      <w:pPr>
        <w:pStyle w:val="ListParagraph"/>
        <w:numPr>
          <w:ilvl w:val="0"/>
          <w:numId w:val="2"/>
        </w:numPr>
        <w:spacing w:after="80"/>
      </w:pPr>
      <w:r>
        <w:rPr>
          <w:rFonts w:ascii="Calibri" w:cs="Calibri" w:eastAsia="Calibri" w:hAnsi="Calibri"/>
        </w:rPr>
        <w:t xml:space="preserve">Charts and tables: portfolio vs 100% in each asset and inflation; drawdown chart with worst-fall chips; allocation donut; comparison table; Year by year table with a '1995 Dec close (buy)' row showing the Nifty shares and gold grams bought and the closing prices they were bought at (Nifty 909.00, gold Rs 462.42 per gram).</w:t>
      </w:r>
    </w:p>
    <w:p>
      <w:pPr>
        <w:pStyle w:val="ListParagraph"/>
        <w:numPr>
          <w:ilvl w:val="0"/>
          <w:numId w:val="2"/>
        </w:numPr>
        <w:spacing w:after="80"/>
      </w:pPr>
      <w:r>
        <w:rPr>
          <w:rFonts w:ascii="Calibri" w:cs="Calibri" w:eastAsia="Calibri" w:hAnsi="Calibri"/>
        </w:rPr>
        <w:t xml:space="preserve">Rebalance page (header button): value with vs without rebalancing, the latest review's buy / reduce amounts and a Year by year (with rebalancing) table like the main page's: the 1995 Dec buy row, then every December the amount in each asset at the close (Nifty shares / gold grams held at that price), what is sold or bought (with the shares / grams), and the amount and shares after; shares and grams change only in a December when the portfolio is rebalanced.</w:t>
      </w:r>
    </w:p>
    <w:p>
      <w:pPr>
        <w:pStyle w:val="ListParagraph"/>
        <w:numPr>
          <w:ilvl w:val="0"/>
          <w:numId w:val="2"/>
        </w:numPr>
        <w:spacing w:after="80"/>
      </w:pPr>
      <w:r>
        <w:rPr>
          <w:rFonts w:ascii="Calibri" w:cs="Calibri" w:eastAsia="Calibri" w:hAnsi="Calibri"/>
        </w:rPr>
        <w:t xml:space="preserve">Backtester (header button): daily-close Buy &amp; Hold and Rebalancing pages on named allocations. Allocations (10 predefined, read-only, plus your custom ones) are kept in config/asset_allocations.json through AllocationStore (atomic writes, recreated when missing, validated: weights add up to 100, no negatives, known assets, unique name up to 50 characters). Engine: run_backtest(allocation, start, end, amount, rebalance none / monthly / quarterly / yearly on the first trading day of each period), prices carried forward at most 5 days, cash compounded over 252 days, cost hook. Results: summary cards (final value, total return, CAGR, max drawdown with dates, volatility), equity curve, stacked value per asset, calendar-year returns, asset contribution; the Rebalancing page adds the number of rebalances, a paginated rebalance log and a comparison with buy and hold. Manage allocations: new, duplicate, edit / delete custom, export and import JSON.</w:t>
      </w:r>
    </w:p>
    <w:p>
      <w:pPr>
        <w:pStyle w:val="ListParagraph"/>
        <w:numPr>
          <w:ilvl w:val="0"/>
          <w:numId w:val="2"/>
        </w:numPr>
        <w:spacing w:after="80"/>
      </w:pPr>
      <w:r>
        <w:rPr>
          <w:rFonts w:ascii="Calibri" w:cs="Calibri" w:eastAsia="Calibri" w:hAnsi="Calibri"/>
        </w:rPr>
        <w:t xml:space="preserve">Download buttons (Excel or PDF) on the Year by year table and the Year by year (with rebalancing) table; PDFs write 'Rs' because the standard PDF fonts have no rupee sign.</w:t>
      </w:r>
    </w:p>
    <w:p>
      <w:pPr>
        <w:pStyle w:val="Heading1"/>
        <w:spacing w:after="160" w:before="360"/>
      </w:pPr>
      <w:r>
        <w:rPr>
          <w:rFonts w:ascii="Calibri" w:cs="Calibri" w:eastAsia="Calibri" w:hAnsi="Calibri"/>
          <w:b/>
          <w:bCs/>
          <w:color w:val="1B2A4A"/>
          <w:sz w:val="30"/>
          <w:szCs w:val="30"/>
        </w:rPr>
        <w:t xml:space="preserve">8. Excel Deliverable</w:t>
      </w:r>
    </w:p>
    <w:p>
      <w:pPr>
        <w:spacing w:after="120"/>
      </w:pPr>
      <w:r>
        <w:rPr>
          <w:rFonts w:ascii="Calibri" w:cs="Calibri" w:eastAsia="Calibri" w:hAnsi="Calibri"/>
        </w:rPr>
        <w:t xml:space="preserve">calculation.xlsx mirrors the app (monthly view) with live Excel formulas, not hard-coded values: change the yellow cells (capital, weights, tolerance, month to show) and everything recalculates. It runs month by month from 1996-01 to 2026-09 (money in at the Dec 1995 close).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Sheet</w:t>
            </w:r>
          </w:p>
        </w:tc>
        <w:tc>
          <w:tcPr>
            <w:tcW w:type="dxa" w:w="748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Contents</w:t>
            </w:r>
          </w:p>
        </w:tc>
      </w:tr>
      <w:tr>
        <w:trPr>
          <w:tblHeader w:val="off"/>
        </w:trPr>
        <w:tc>
          <w:tcPr>
            <w:tcW w:type="dxa" w:w="2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How it works</w:t>
            </w:r>
          </w:p>
        </w:tc>
        <w:tc>
          <w:tcPr>
            <w:tcW w:type="dxa" w:w="7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The steps in plain language, the sheets, the data sources</w:t>
            </w:r>
          </w:p>
        </w:tc>
      </w:tr>
      <w:tr>
        <w:trPr>
          <w:tblHeader w:val="off"/>
        </w:trPr>
        <w:tc>
          <w:tcPr>
            <w:tcW w:type="dxa" w:w="2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Calculator</w:t>
            </w:r>
          </w:p>
        </w:tc>
        <w:tc>
          <w:tcPr>
            <w:tcW w:type="dxa" w:w="7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Inputs and the results at any month: portfolio value, after inflation, growth per year, each part, drawdown, the 100% lines, and what you bought at the start (Nifty shares, gold grams)</w:t>
            </w:r>
          </w:p>
        </w:tc>
      </w:tr>
      <w:tr>
        <w:trPr>
          <w:tblHeader w:val="off"/>
        </w:trPr>
        <w:tc>
          <w:tcPr>
            <w:tcW w:type="dxa" w:w="2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Monthly</w:t>
            </w:r>
          </w:p>
        </w:tc>
        <w:tc>
          <w:tcPr>
            <w:tcW w:type="dxa" w:w="7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The main calculation, one row per month: growth x, rupee values, portfolio, after inflation, drawdown</w:t>
            </w:r>
          </w:p>
        </w:tc>
      </w:tr>
      <w:tr>
        <w:trPr>
          <w:tblHeader w:val="off"/>
        </w:trPr>
        <w:tc>
          <w:tcPr>
            <w:tcW w:type="dxa" w:w="2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Year by year</w:t>
            </w:r>
          </w:p>
        </w:tc>
        <w:tc>
          <w:tcPr>
            <w:tcW w:type="dxa" w:w="7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First row 1995 Dec = what you bought at the Dec 1995 close; then the December value of each year 1996-2026 (2026: the last month), return, inflation, average per year</w:t>
            </w:r>
          </w:p>
        </w:tc>
      </w:tr>
      <w:tr>
        <w:trPr>
          <w:tblHeader w:val="off"/>
        </w:trPr>
        <w:tc>
          <w:tcPr>
            <w:tcW w:type="dxa" w:w="2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Asset tracker</w:t>
            </w:r>
          </w:p>
        </w:tc>
        <w:tc>
          <w:tcPr>
            <w:tcW w:type="dxa" w:w="7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First row 1995 Dec = the Dec 1995 closing price, units / grams bought and value; then per year and asset (Nifty, Gold, Bonds, Cash): price, units / grams bought, value, target value, buy / sell, annual return, peak, drawdown, CAGR, plus the portfolio totals</w:t>
            </w:r>
          </w:p>
        </w:tc>
      </w:tr>
      <w:tr>
        <w:trPr>
          <w:tblHeader w:val="off"/>
        </w:trPr>
        <w:tc>
          <w:tcPr>
            <w:tcW w:type="dxa" w:w="2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Rebalance year by year</w:t>
            </w:r>
          </w:p>
        </w:tc>
        <w:tc>
          <w:tcPr>
            <w:tcW w:type="dxa" w:w="7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The app's Rebalance page table with live formulas (tolerance cell, default 5 points; 0 = every year): 1995 Dec buy, then every December per asset the Rs at the close, Nifty shares / gold grams held, the price, shares / grams bought or sold at that price, buy / sell Rs, Rs and shares after; then portfolio, rebalanced, return, inflation, after inflation, average per year, value without rebalancing; and a summary</w:t>
            </w:r>
          </w:p>
        </w:tc>
      </w:tr>
      <w:tr>
        <w:trPr>
          <w:tblHeader w:val="off"/>
        </w:trPr>
        <w:tc>
          <w:tcPr>
            <w:tcW w:type="dxa" w:w="2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Year-end comparison</w:t>
            </w:r>
          </w:p>
        </w:tc>
        <w:tc>
          <w:tcPr>
            <w:tcW w:type="dxa" w:w="7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Every December: value with buy and hold, with rebalancing, the difference and the action (follows the tolerance of Rebalance year by year)</w:t>
            </w:r>
          </w:p>
        </w:tc>
      </w:tr>
      <w:tr>
        <w:trPr>
          <w:tblHeader w:val="off"/>
        </w:trPr>
        <w:tc>
          <w:tcPr>
            <w:tcW w:type="dxa" w:w="2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Bonds calculation</w:t>
            </w:r>
          </w:p>
        </w:tc>
        <w:tc>
          <w:tcPr>
            <w:tcW w:type="dxa" w:w="7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The Bonds return of each year step by step and the month it is added in (December)</w:t>
            </w:r>
          </w:p>
        </w:tc>
      </w:tr>
      <w:tr>
        <w:trPr>
          <w:tblHeader w:val="off"/>
        </w:trPr>
        <w:tc>
          <w:tcPr>
            <w:tcW w:type="dxa" w:w="26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Gold 1995-2005</w:t>
            </w:r>
          </w:p>
        </w:tc>
        <w:tc>
          <w:tcPr>
            <w:tcW w:type="dxa" w:w="74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GOLDINR month-end closes matched to MCX, every month 1995-12 to 2005-05</w:t>
            </w:r>
          </w:p>
        </w:tc>
      </w:tr>
      <w:tr>
        <w:trPr>
          <w:tblHeader w:val="off"/>
        </w:trPr>
        <w:tc>
          <w:tcPr>
            <w:tcW w:type="dxa" w:w="26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Data</w:t>
            </w:r>
          </w:p>
        </w:tc>
        <w:tc>
          <w:tcPr>
            <w:tcW w:type="dxa" w:w="74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Every month's prices and rates (blue) with dates and sources</w:t>
            </w:r>
          </w:p>
        </w:tc>
      </w:tr>
    </w:tbl>
    <w:p>
      <w:pPr>
        <w:spacing w:after="120"/>
      </w:pPr>
    </w:p>
    <w:p>
      <w:pPr>
        <w:spacing w:after="120"/>
      </w:pPr>
      <w:r>
        <w:rPr>
          <w:rFonts w:ascii="Calibri" w:cs="Calibri" w:eastAsia="Calibri" w:hAnsi="Calibri"/>
        </w:rPr>
        <w:t xml:space="preserve">It is cross-checked against the Python code with the formulas library: for Nifty 50 / Gold 30 / Bonds 15 / Cash 5 both give Rs 47,36,913.19 (after inflation Rs 7,53,117.99) and Rs 57,09,137.63 with rebalancing (15 reviews); for Nifty 40 / Gold 30 / Bonds 20 / Cash 10 both give Rs 43,37,761.75 and Rs 46,49,259.76 with rebalancing (15). The Rebalance year by year sheet gives Rs 57,09,137.63 with tolerance 5 and Rs 55,46,603.21 when all 30 Decembers are rebalanced (tolerance 0), both matching Python to the paisa.</w:t>
      </w:r>
    </w:p>
    <w:p>
      <w:pPr>
        <w:pStyle w:val="Heading1"/>
        <w:spacing w:after="160" w:before="360"/>
      </w:pPr>
      <w:r>
        <w:rPr>
          <w:rFonts w:ascii="Calibri" w:cs="Calibri" w:eastAsia="Calibri" w:hAnsi="Calibri"/>
          <w:b/>
          <w:bCs/>
          <w:color w:val="1B2A4A"/>
          <w:sz w:val="30"/>
          <w:szCs w:val="30"/>
        </w:rPr>
        <w:t xml:space="preserve">9. Recent Work - Move to the TradeEntry API</w:t>
      </w:r>
    </w:p>
    <w:p>
      <w:pPr>
        <w:pStyle w:val="ListParagraph"/>
        <w:numPr>
          <w:ilvl w:val="0"/>
          <w:numId w:val="2"/>
        </w:numPr>
        <w:spacing w:after="80"/>
      </w:pPr>
      <w:r>
        <w:rPr>
          <w:rFonts w:ascii="Calibri" w:cs="Calibri" w:eastAsia="Calibri" w:hAnsi="Calibri"/>
        </w:rPr>
        <w:t xml:space="preserve">All market data moved from local files to the TradeEntry API (Nifty, Midcap, Smallcap, MCX Gold, GOLDINR, SBI FD rate, G-sec index, CPI inflation). The local data folder was removed.</w:t>
      </w:r>
    </w:p>
    <w:p>
      <w:pPr>
        <w:pStyle w:val="ListParagraph"/>
        <w:numPr>
          <w:ilvl w:val="0"/>
          <w:numId w:val="2"/>
        </w:numPr>
        <w:spacing w:after="80"/>
      </w:pPr>
      <w:r>
        <w:rPr>
          <w:rFonts w:ascii="Calibri" w:cs="Calibri" w:eastAsia="Calibri" w:hAnsi="Calibri"/>
        </w:rPr>
        <w:t xml:space="preserve">Gold: GOLDINR month-end closes (1995-12 to 2005-05) matched to MCX, India rate with 3% GST.</w:t>
      </w:r>
    </w:p>
    <w:p>
      <w:pPr>
        <w:pStyle w:val="ListParagraph"/>
        <w:numPr>
          <w:ilvl w:val="0"/>
          <w:numId w:val="2"/>
        </w:numPr>
        <w:spacing w:after="80"/>
      </w:pPr>
      <w:r>
        <w:rPr>
          <w:rFonts w:ascii="Calibri" w:cs="Calibri" w:eastAsia="Calibri" w:hAnsi="Calibri"/>
        </w:rPr>
        <w:t xml:space="preserve">Bonds: SBI FD rate to 2011 (9.00% for 1996-98, 9.25% for 2012-14), the NIFTY Composite G-sec Index from 2015.</w:t>
      </w:r>
    </w:p>
    <w:p>
      <w:pPr>
        <w:pStyle w:val="ListParagraph"/>
        <w:numPr>
          <w:ilvl w:val="0"/>
          <w:numId w:val="2"/>
        </w:numPr>
        <w:spacing w:after="80"/>
      </w:pPr>
      <w:r>
        <w:rPr>
          <w:rFonts w:ascii="Calibri" w:cs="Calibri" w:eastAsia="Calibri" w:hAnsi="Calibri"/>
        </w:rPr>
        <w:t xml:space="preserve">Added a December-only calculation (API option), then made the UI monthly again up to the last complete month; added the Rebalance page, the Download buttons, input validation, and a monthly Excel workbook with a Bonds calculation sheet.</w:t>
      </w:r>
    </w:p>
    <w:p>
      <w:pPr>
        <w:pStyle w:val="ListParagraph"/>
        <w:numPr>
          <w:ilvl w:val="0"/>
          <w:numId w:val="2"/>
        </w:numPr>
        <w:spacing w:after="80"/>
      </w:pPr>
      <w:r>
        <w:rPr>
          <w:rFonts w:ascii="Calibri" w:cs="Calibri" w:eastAsia="Calibri" w:hAnsi="Calibri"/>
        </w:rPr>
        <w:t xml:space="preserve">Fixed: CAGR and Sharpe now count the number of periods between values correctly and include the first year's return.</w:t>
      </w:r>
    </w:p>
    <w:p>
      <w:pPr>
        <w:pStyle w:val="Heading1"/>
        <w:spacing w:after="160" w:before="360"/>
      </w:pPr>
      <w:r>
        <w:rPr>
          <w:rFonts w:ascii="Calibri" w:cs="Calibri" w:eastAsia="Calibri" w:hAnsi="Calibri"/>
          <w:b/>
          <w:bCs/>
          <w:color w:val="1B2A4A"/>
          <w:sz w:val="30"/>
          <w:szCs w:val="30"/>
        </w:rPr>
        <w:t xml:space="preserve">10. Known Issues / Pending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Item</w:t>
            </w:r>
          </w:p>
        </w:tc>
        <w:tc>
          <w:tcPr>
            <w:tcW w:type="dxa" w:w="5280"/>
            <w:tcBorders>
              <w:top w:val="single" w:color="BFC5CF" w:sz="4"/>
              <w:left w:val="single" w:color="BFC5CF" w:sz="4"/>
              <w:bottom w:val="single" w:color="BFC5CF" w:sz="4"/>
              <w:right w:val="single" w:color="BFC5CF" w:sz="4"/>
            </w:tcBorders>
            <w:shd w:fill="1B2A4A" w:val="clear"/>
            <w:tcMar>
              <w:top w:type="dxa" w:w="80"/>
              <w:left w:type="dxa" w:w="100"/>
              <w:bottom w:type="dxa" w:w="80"/>
              <w:right w:type="dxa" w:w="100"/>
            </w:tcMar>
          </w:tcPr>
          <w:p>
            <w:r>
              <w:rPr>
                <w:rFonts w:ascii="Calibri" w:cs="Calibri" w:eastAsia="Calibri" w:hAnsi="Calibri"/>
                <w:b/>
                <w:bCs/>
                <w:color w:val="FFFFFF"/>
              </w:rPr>
              <w:t xml:space="preserve">Detail</w:t>
            </w:r>
          </w:p>
        </w:tc>
      </w:tr>
      <w:tr>
        <w:trPr>
          <w:tblHeader w:val="off"/>
        </w:trPr>
        <w:tc>
          <w:tcPr>
            <w:tcW w:type="dxa" w:w="48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No fallback if the API is down</w:t>
            </w:r>
          </w:p>
        </w:tc>
        <w:tc>
          <w:tcPr>
            <w:tcW w:type="dxa" w:w="52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Without the token or the site the backend answers 503; there is no local copy of the data.</w:t>
            </w:r>
          </w:p>
        </w:tc>
      </w:tr>
      <w:tr>
        <w:trPr>
          <w:tblHeader w:val="off"/>
        </w:trPr>
        <w:tc>
          <w:tcPr>
            <w:tcW w:type="dxa" w:w="48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Bonds are an approximation</w:t>
            </w:r>
          </w:p>
        </w:tc>
        <w:tc>
          <w:tcPr>
            <w:tcW w:type="dxa" w:w="52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Not a real bond purchase: no coupon, price, maturity, tax or fees. Until 2011 it is FD interest growth.</w:t>
            </w:r>
          </w:p>
        </w:tc>
      </w:tr>
      <w:tr>
        <w:trPr>
          <w:tblHeader w:val="off"/>
        </w:trPr>
        <w:tc>
          <w:tcPr>
            <w:tcW w:type="dxa" w:w="48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SBI 2008 rate (8.75%)</w:t>
            </w:r>
          </w:p>
        </w:tc>
        <w:tc>
          <w:tcPr>
            <w:tcW w:type="dxa" w:w="52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Marked as an approximation in the source series (the least certain figure).</w:t>
            </w:r>
          </w:p>
        </w:tc>
      </w:tr>
      <w:tr>
        <w:trPr>
          <w:tblHeader w:val="off"/>
        </w:trPr>
        <w:tc>
          <w:tcPr>
            <w:tcW w:type="dxa" w:w="48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2012-2014 and 2015 Bonds</w:t>
            </w:r>
          </w:p>
        </w:tc>
        <w:tc>
          <w:tcPr>
            <w:tcW w:type="dxa" w:w="52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2012-14 use the 2011 rate for lack of data; 2015 covers only 2015-10-13 to December.</w:t>
            </w:r>
          </w:p>
        </w:tc>
      </w:tr>
      <w:tr>
        <w:trPr>
          <w:tblHeader w:val="off"/>
        </w:trPr>
        <w:tc>
          <w:tcPr>
            <w:tcW w:type="dxa" w:w="48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2026 inflation is an assumption</w:t>
            </w:r>
          </w:p>
        </w:tc>
        <w:tc>
          <w:tcPr>
            <w:tcW w:type="dxa" w:w="52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The API has no 2026 value, so the 2025 rate (2.40%) is repeated; </w:t>
            </w:r>
          </w:p>
        </w:tc>
      </w:tr>
      <w:tr>
        <w:trPr>
          <w:tblHeader w:val="off"/>
        </w:trPr>
        <w:tc>
          <w:tcPr>
            <w:tcW w:type="dxa" w:w="48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Monthly view ends at the last complete month</w:t>
            </w:r>
          </w:p>
        </w:tc>
        <w:tc>
          <w:tcPr>
            <w:tcW w:type="dxa" w:w="52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The current, incomplete month (Oct 2026) is not used.</w:t>
            </w:r>
          </w:p>
        </w:tc>
      </w:tr>
      <w:tr>
        <w:trPr>
          <w:tblHeader w:val="off"/>
        </w:trPr>
        <w:tc>
          <w:tcPr>
            <w:tcW w:type="dxa" w:w="48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Excel workbook script</w:t>
            </w:r>
          </w:p>
        </w:tc>
        <w:tc>
          <w:tcPr>
            <w:tcW w:type="dxa" w:w="52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The workbook is built by a script kept outside the repository.</w:t>
            </w:r>
          </w:p>
        </w:tc>
      </w:tr>
      <w:tr>
        <w:trPr>
          <w:tblHeader w:val="off"/>
        </w:trPr>
        <w:tc>
          <w:tcPr>
            <w:tcW w:type="dxa" w:w="480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build_midsmallcap_csv.py</w:t>
            </w:r>
          </w:p>
        </w:tc>
        <w:tc>
          <w:tcPr>
            <w:tcW w:type="dxa" w:w="5280"/>
            <w:tcBorders>
              <w:top w:val="single" w:color="BFC5CF" w:sz="4"/>
              <w:left w:val="single" w:color="BFC5CF" w:sz="4"/>
              <w:bottom w:val="single" w:color="BFC5CF" w:sz="4"/>
              <w:right w:val="single" w:color="BFC5CF" w:sz="4"/>
            </w:tcBorders>
            <w:shd w:fill="F2F4F7" w:val="clear"/>
            <w:tcMar>
              <w:top w:type="dxa" w:w="80"/>
              <w:left w:type="dxa" w:w="100"/>
              <w:bottom w:type="dxa" w:w="80"/>
              <w:right w:type="dxa" w:w="100"/>
            </w:tcMar>
          </w:tcPr>
          <w:p>
            <w:r>
              <w:rPr>
                <w:rFonts w:ascii="Calibri" w:cs="Calibri" w:eastAsia="Calibri" w:hAnsi="Calibri"/>
              </w:rPr>
              <w:t xml:space="preserve">Obsolete (it needs the removed local files) and can be deleted.</w:t>
            </w:r>
          </w:p>
        </w:tc>
      </w:tr>
      <w:tr>
        <w:trPr>
          <w:tblHeader w:val="off"/>
        </w:trPr>
        <w:tc>
          <w:tcPr>
            <w:tcW w:type="dxa" w:w="480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API tokens</w:t>
            </w:r>
          </w:p>
        </w:tc>
        <w:tc>
          <w:tcPr>
            <w:tcW w:type="dxa" w:w="5280"/>
            <w:tcBorders>
              <w:top w:val="single" w:color="BFC5CF" w:sz="4"/>
              <w:left w:val="single" w:color="BFC5CF" w:sz="4"/>
              <w:bottom w:val="single" w:color="BFC5CF" w:sz="4"/>
              <w:right w:val="single" w:color="BFC5CF" w:sz="4"/>
            </w:tcBorders>
            <w:tcMar>
              <w:top w:type="dxa" w:w="80"/>
              <w:left w:type="dxa" w:w="100"/>
              <w:bottom w:type="dxa" w:w="80"/>
              <w:right w:type="dxa" w:w="100"/>
            </w:tcMar>
          </w:tcPr>
          <w:p>
            <w:r>
              <w:rPr>
                <w:rFonts w:ascii="Calibri" w:cs="Calibri" w:eastAsia="Calibri" w:hAnsi="Calibri"/>
              </w:rPr>
              <w:t xml:space="preserve">Tokens shared in chat should be revoked in the TradeEntry API Tokens page.</w:t>
            </w:r>
          </w:p>
        </w:tc>
      </w:tr>
    </w:tbl>
    <w:p>
      <w:pPr>
        <w:pStyle w:val="Heading1"/>
        <w:spacing w:after="160" w:before="360"/>
      </w:pPr>
      <w:r>
        <w:rPr>
          <w:rFonts w:ascii="Calibri" w:cs="Calibri" w:eastAsia="Calibri" w:hAnsi="Calibri"/>
          <w:b/>
          <w:bCs/>
          <w:color w:val="1B2A4A"/>
          <w:sz w:val="30"/>
          <w:szCs w:val="30"/>
        </w:rPr>
        <w:t xml:space="preserve">11. Running the Project</w:t>
      </w:r>
    </w:p>
    <w:p>
      <w:pPr>
        <w:pStyle w:val="Heading2"/>
        <w:spacing w:after="120" w:before="260"/>
      </w:pPr>
      <w:r>
        <w:rPr>
          <w:rFonts w:ascii="Calibri" w:cs="Calibri" w:eastAsia="Calibri" w:hAnsi="Calibri"/>
          <w:b/>
          <w:bCs/>
          <w:color w:val="0E7C86"/>
          <w:sz w:val="25"/>
          <w:szCs w:val="25"/>
        </w:rPr>
        <w:t xml:space="preserve">1. Set the API token (every new terminal)</w:t>
      </w:r>
    </w:p>
    <w:p>
      <w:pPr>
        <w:shd w:fill="F2F4F7" w:val="clear"/>
        <w:spacing w:after="60"/>
      </w:pPr>
      <w:r>
        <w:rPr>
          <w:rFonts w:ascii="Consolas" w:cs="Consolas" w:eastAsia="Consolas" w:hAnsi="Consolas"/>
          <w:sz w:val="19"/>
          <w:szCs w:val="19"/>
        </w:rPr>
        <w:t xml:space="preserve">$env:TRADEENTRY_TOKEN = "tat_xxxxxxxx"      # PowerShell</w:t>
      </w:r>
    </w:p>
    <w:p>
      <w:pPr>
        <w:shd w:fill="F2F4F7" w:val="clear"/>
        <w:spacing w:after="60"/>
      </w:pPr>
      <w:r>
        <w:rPr>
          <w:rFonts w:ascii="Consolas" w:cs="Consolas" w:eastAsia="Consolas" w:hAnsi="Consolas"/>
          <w:sz w:val="19"/>
          <w:szCs w:val="19"/>
        </w:rPr>
        <w:t xml:space="preserve">export TRADEENTRY_TOKEN=tat_xxxxxxxx        # bash</w:t>
      </w:r>
    </w:p>
    <w:p>
      <w:pPr>
        <w:pStyle w:val="Heading2"/>
        <w:spacing w:after="120" w:before="260"/>
      </w:pPr>
      <w:r>
        <w:rPr>
          <w:rFonts w:ascii="Calibri" w:cs="Calibri" w:eastAsia="Calibri" w:hAnsi="Calibri"/>
          <w:b/>
          <w:bCs/>
          <w:color w:val="0E7C86"/>
          <w:sz w:val="25"/>
          <w:szCs w:val="25"/>
        </w:rPr>
        <w:t xml:space="preserve">2. Everything at once (recommended)</w:t>
      </w:r>
    </w:p>
    <w:p>
      <w:pPr>
        <w:shd w:fill="F2F4F7" w:val="clear"/>
        <w:spacing w:after="60"/>
      </w:pPr>
      <w:r>
        <w:rPr>
          <w:rFonts w:ascii="Consolas" w:cs="Consolas" w:eastAsia="Consolas" w:hAnsi="Consolas"/>
          <w:sz w:val="19"/>
          <w:szCs w:val="19"/>
        </w:rPr>
        <w:t xml:space="preserve">npm run dev</w:t>
      </w:r>
    </w:p>
    <w:p>
      <w:pPr>
        <w:spacing w:after="120"/>
      </w:pPr>
      <w:r>
        <w:rPr>
          <w:rFonts w:ascii="Calibri" w:cs="Calibri" w:eastAsia="Calibri" w:hAnsi="Calibri"/>
        </w:rPr>
        <w:t xml:space="preserve">Starts the FastAPI backend on :8000 and the Vite dev server together. Run from the project root (new-aaset), not from web/.</w:t>
      </w:r>
    </w:p>
    <w:p>
      <w:pPr>
        <w:pStyle w:val="Heading2"/>
        <w:spacing w:after="120" w:before="260"/>
      </w:pPr>
      <w:r>
        <w:rPr>
          <w:rFonts w:ascii="Calibri" w:cs="Calibri" w:eastAsia="Calibri" w:hAnsi="Calibri"/>
          <w:b/>
          <w:bCs/>
          <w:color w:val="0E7C86"/>
          <w:sz w:val="25"/>
          <w:szCs w:val="25"/>
        </w:rPr>
        <w:t xml:space="preserve">Backend and frontend separately</w:t>
      </w:r>
    </w:p>
    <w:p>
      <w:pPr>
        <w:shd w:fill="F2F4F7" w:val="clear"/>
        <w:spacing w:after="60"/>
      </w:pPr>
      <w:r>
        <w:rPr>
          <w:rFonts w:ascii="Consolas" w:cs="Consolas" w:eastAsia="Consolas" w:hAnsi="Consolas"/>
          <w:sz w:val="19"/>
          <w:szCs w:val="19"/>
        </w:rPr>
        <w:t xml:space="preserve">uvicorn server:app --reload --port 8000</w:t>
      </w:r>
    </w:p>
    <w:p>
      <w:pPr>
        <w:shd w:fill="F2F4F7" w:val="clear"/>
        <w:spacing w:after="60"/>
      </w:pPr>
      <w:r>
        <w:rPr>
          <w:rFonts w:ascii="Consolas" w:cs="Consolas" w:eastAsia="Consolas" w:hAnsi="Consolas"/>
          <w:sz w:val="19"/>
          <w:szCs w:val="19"/>
        </w:rPr>
        <w:t xml:space="preserve">cd web &amp;&amp; npm run dev</w:t>
      </w:r>
    </w:p>
    <w:p>
      <w:pPr>
        <w:pStyle w:val="Heading2"/>
        <w:spacing w:after="120" w:before="260"/>
      </w:pPr>
      <w:r>
        <w:rPr>
          <w:rFonts w:ascii="Calibri" w:cs="Calibri" w:eastAsia="Calibri" w:hAnsi="Calibri"/>
          <w:b/>
          <w:bCs/>
          <w:color w:val="0E7C86"/>
          <w:sz w:val="25"/>
          <w:szCs w:val="25"/>
        </w:rPr>
        <w:t xml:space="preserve">Command-line backtest (no UI)</w:t>
      </w:r>
    </w:p>
    <w:p>
      <w:pPr>
        <w:shd w:fill="F2F4F7" w:val="clear"/>
        <w:spacing w:after="60"/>
      </w:pPr>
      <w:r>
        <w:rPr>
          <w:rFonts w:ascii="Consolas" w:cs="Consolas" w:eastAsia="Consolas" w:hAnsi="Consolas"/>
          <w:sz w:val="19"/>
          <w:szCs w:val="19"/>
        </w:rPr>
        <w:t xml:space="preserve">python asset_allocation_backtest.py --capital 200000 --nifty 50 --gold 30 --bonds 0 --start 1995 --end 2025</w:t>
      </w:r>
    </w:p>
    <w:p>
      <w:pPr>
        <w:pStyle w:val="Heading2"/>
        <w:spacing w:after="120" w:before="260"/>
      </w:pPr>
      <w:r>
        <w:rPr>
          <w:rFonts w:ascii="Calibri" w:cs="Calibri" w:eastAsia="Calibri" w:hAnsi="Calibri"/>
          <w:b/>
          <w:bCs/>
          <w:color w:val="0E7C86"/>
          <w:sz w:val="25"/>
          <w:szCs w:val="25"/>
        </w:rPr>
        <w:t xml:space="preserve">Requirements</w:t>
      </w:r>
    </w:p>
    <w:p>
      <w:pPr>
        <w:pStyle w:val="ListParagraph"/>
        <w:numPr>
          <w:ilvl w:val="0"/>
          <w:numId w:val="2"/>
        </w:numPr>
        <w:spacing w:after="80"/>
      </w:pPr>
      <w:r>
        <w:rPr>
          <w:rFonts w:ascii="Calibri" w:cs="Calibri" w:eastAsia="Calibri" w:hAnsi="Calibri"/>
        </w:rPr>
        <w:t xml:space="preserve">Python 3.11+ with fastapi, uvicorn and requests (see requirements.txt)</w:t>
      </w:r>
    </w:p>
    <w:p>
      <w:pPr>
        <w:pStyle w:val="ListParagraph"/>
        <w:numPr>
          <w:ilvl w:val="0"/>
          <w:numId w:val="2"/>
        </w:numPr>
        <w:spacing w:after="80"/>
      </w:pPr>
      <w:r>
        <w:rPr>
          <w:rFonts w:ascii="Calibri" w:cs="Calibri" w:eastAsia="Calibri" w:hAnsi="Calibri"/>
        </w:rPr>
        <w:t xml:space="preserve">Node.js with npm (for the frontend and the root concurrently dev script)</w:t>
      </w:r>
    </w:p>
    <w:p>
      <w:pPr>
        <w:pStyle w:val="ListParagraph"/>
        <w:numPr>
          <w:ilvl w:val="0"/>
          <w:numId w:val="2"/>
        </w:numPr>
        <w:spacing w:after="80"/>
      </w:pPr>
      <w:r>
        <w:rPr>
          <w:rFonts w:ascii="Calibri" w:cs="Calibri" w:eastAsia="Calibri" w:hAnsi="Calibri"/>
        </w:rPr>
        <w:t xml:space="preserve">A TradeEntry API token in TRADEENTRY_TOKEN; tests that use live data are skipped without it</w:t>
      </w:r>
    </w:p>
    <w:p>
      <w:pPr>
        <w:shd w:fill="F2F4F7" w:val="clear"/>
        <w:spacing w:after="60"/>
      </w:pPr>
      <w:r>
        <w:rPr>
          <w:rFonts w:ascii="Consolas" w:cs="Consolas" w:eastAsia="Consolas" w:hAnsi="Consolas"/>
          <w:sz w:val="19"/>
          <w:szCs w:val="19"/>
        </w:rPr>
        <w:t xml:space="preserve">pip install -r requirements.txt</w:t>
      </w:r>
    </w:p>
    <w:p>
      <w:pPr>
        <w:shd w:fill="F2F4F7" w:val="clear"/>
        <w:spacing w:after="60"/>
      </w:pPr>
      <w:r>
        <w:rPr>
          <w:rFonts w:ascii="Consolas" w:cs="Consolas" w:eastAsia="Consolas" w:hAnsi="Consolas"/>
          <w:sz w:val="19"/>
          <w:szCs w:val="19"/>
        </w:rPr>
        <w:t xml:space="preserve">npm install --prefix web</w:t>
      </w:r>
    </w:p>
    <w:p>
      <w:pPr>
        <w:spacing w:after="120"/>
      </w:pPr>
    </w:p>
    <w:p>
      <w:pPr>
        <w:spacing w:after="120"/>
        <w:rPr>
          <w:color w:val="888888"/>
          <w:sz w:val="18"/>
          <w:szCs w:val="18"/>
        </w:rPr>
      </w:pPr>
      <w:r>
        <w:rPr>
          <w:rFonts w:ascii="Calibri" w:cs="Calibri" w:eastAsia="Calibri" w:hAnsi="Calibri"/>
          <w:color w:val="888888"/>
          <w:sz w:val="18"/>
          <w:szCs w:val="18"/>
        </w:rPr>
        <w:t xml:space="preserve">Generated from the project workspace at C:\Users\SR\OneDrive\Desktop\AAset\new-aaset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2026-10-10T06:27:26.908Z</dcterms:created>
  <dcterms:modified xsi:type="dcterms:W3CDTF">2026-10-10T06:27:26.909Z</dcterms:modified>
</cp:coreProperties>
</file>

<file path=docProps/custom.xml><?xml version="1.0" encoding="utf-8"?>
<Properties xmlns="http://schemas.openxmlformats.org/officeDocument/2006/custom-properties" xmlns:vt="http://schemas.openxmlformats.org/officeDocument/2006/docPropsVTypes"/>
</file>