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6345E"/>
          <w:sz w:val="80"/>
        </w:rPr>
        <w:t>HI-Fin Tech</w:t>
      </w:r>
    </w:p>
    <w:p>
      <w:pPr>
        <w:jc w:val="center"/>
      </w:pPr>
      <w:r>
        <w:rPr>
          <w:rFonts w:ascii="맑은 고딕" w:hAnsi="맑은 고딕" w:eastAsia="맑은 고딕"/>
          <w:b w:val="0"/>
          <w:color w:val="F97316"/>
          <w:sz w:val="30"/>
        </w:rPr>
        <w:t>AI 헬스케어 · 핀테크 임팩트 플랫폼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33445C"/>
          <w:sz w:val="40"/>
        </w:rPr>
        <w:t>투자 제안서 (Investor Relations)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5A6B86"/>
          <w:sz w:val="24"/>
        </w:rPr>
        <w:t>검진데이터 기반 AI가 평생 건강을 관리하고,</w:t>
        <w:br/>
        <w:t>건강행동이 자산과 나눔이 되는 헬스케어·핀테크 생태계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color w:val="16345E"/>
                <w:sz w:val="21"/>
              </w:rPr>
              <w:t>회사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하이젠케어(주) · HiZenCare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color w:val="16345E"/>
                <w:sz w:val="21"/>
              </w:rPr>
              <w:t>대표이사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조성래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color w:val="16345E"/>
                <w:sz w:val="21"/>
              </w:rPr>
              <w:t>투자 유치 규모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10억원 (Seed / Pre-Series A)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color w:val="16345E"/>
                <w:sz w:val="21"/>
              </w:rPr>
              <w:t>문서 구분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대외비 (Confidential)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color w:val="16345E"/>
                <w:sz w:val="21"/>
              </w:rPr>
              <w:t>작성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2026. 07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01  </w:t>
      </w:r>
      <w:r>
        <w:rPr>
          <w:rFonts w:ascii="맑은 고딕" w:hAnsi="맑은 고딕" w:eastAsia="맑은 고딕"/>
          <w:b/>
          <w:color w:val="16345E"/>
          <w:sz w:val="28"/>
        </w:rPr>
        <w:t>Executive Summary</w:t>
      </w:r>
    </w:p>
    <w:p>
      <w:pPr>
        <w:spacing w:after="60" w:line="307" w:lineRule="auto"/>
      </w:pPr>
      <w:r>
        <w:rPr>
          <w:rFonts w:ascii="맑은 고딕" w:hAnsi="맑은 고딕" w:eastAsia="맑은 고딕"/>
          <w:b/>
          <w:sz w:val="20"/>
        </w:rPr>
        <w:t>HI-Fin Tech는 국가·종합 건강검진 데이터를 기반으로 AI가 평생 건강을 관리하고, 소비·건강행동에서 발생한 가치를 회원 적립과 치료비 나눔으로 환원하는 AI 헬스케어·핀테크 임팩트 플랫폼입니다.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한 문장 정의</w:t>
      </w:r>
    </w:p>
    <w:p>
      <w:pPr>
        <w:spacing w:after="60" w:line="307" w:lineRule="auto"/>
      </w:pPr>
      <w:r>
        <w:rPr>
          <w:rFonts w:ascii="맑은 고딕" w:hAnsi="맑은 고딕" w:eastAsia="맑은 고딕"/>
          <w:b w:val="0"/>
          <w:sz w:val="20"/>
        </w:rPr>
        <w:t>검진 → AI 분석·상담 → 맞춤 커머스(건강식단·영양제·의료기기) → 검진·예약·보험 연계 → EMR-UIP 제휴 네트워크로 이어지는 하나의 건강 생태계.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Why Now — 지금인 이유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의료 마이데이터 전송요구권 시행(2025.3)으로 개인 건강데이터의 안전한 연계·활용 기반 확보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실손의료보험 손해율 만성 적자(2024년 116%대) — ‘사후·과잉’에서 ‘예방·데이터 기반’으로 전환 요구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생성형 AI·핀테크 성숙 — 24시간 AI 주치의와 건강금융이 현실화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핵심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투자 유치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10억원 (Seed / Pre-Series A)</w:t>
            </w:r>
          </w:p>
        </w:tc>
      </w:tr>
      <w:tr>
        <w:tc>
          <w:tcPr>
            <w:tcW w:type="dxa" w:w="2268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자금 용도</w:t>
            </w:r>
          </w:p>
        </w:tc>
        <w:tc>
          <w:tcPr>
            <w:tcW w:type="dxa" w:w="7087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인력·AI, 초기 마케팅, 건강쇼핑 구축, 인프라·보안, 제휴 연동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단계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플랫폼 완성 · 제휴 확정 다수 · 사전가입 실데이터 300건</w:t>
            </w:r>
          </w:p>
        </w:tc>
      </w:tr>
      <w:tr>
        <w:tc>
          <w:tcPr>
            <w:tcW w:type="dxa" w:w="2268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신용·기술</w:t>
            </w:r>
          </w:p>
        </w:tc>
        <w:tc>
          <w:tcPr>
            <w:tcW w:type="dxa" w:w="7087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하이젠케어(주) · NICE 기술신용평가 B+ / T5 / b+ 취득(2026.05)</w:t>
            </w:r>
          </w:p>
        </w:tc>
      </w:tr>
    </w:tbl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02  </w:t>
      </w:r>
      <w:r>
        <w:rPr>
          <w:rFonts w:ascii="맑은 고딕" w:hAnsi="맑은 고딕" w:eastAsia="맑은 고딕"/>
          <w:b/>
          <w:color w:val="16345E"/>
          <w:sz w:val="28"/>
        </w:rPr>
        <w:t>우리가 푸는 문제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실손보험의 구조적 적자 — 손해율 116%대, 비급여 과잉진료·의료쇼핑으로 ‘아픈 뒤 많이 쓴 사람’에게 보상하는 사후 구조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검진데이터의 단절 — 매년 수천만 건의 검진 결과가 건강관리·소비·보험으로 연결되지 못하고 사장됨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건강 소비의 정보 비대칭 — 영양제·검진·의료기기 가격·품질 정보가 흩어져 있고 고가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취약계층 치료비 사각 — 예방·나눔이 재무가치로 측정·순환되는 구조의 부재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03  </w:t>
      </w:r>
      <w:r>
        <w:rPr>
          <w:rFonts w:ascii="맑은 고딕" w:hAnsi="맑은 고딕" w:eastAsia="맑은 고딕"/>
          <w:b/>
          <w:color w:val="16345E"/>
          <w:sz w:val="28"/>
        </w:rPr>
        <w:t>솔루션 — 플랫폼 구성 체계</w:t>
      </w:r>
    </w:p>
    <w:p>
      <w:pPr>
        <w:spacing w:after="60" w:line="307" w:lineRule="auto"/>
      </w:pPr>
      <w:r>
        <w:rPr>
          <w:rFonts w:ascii="맑은 고딕" w:hAnsi="맑은 고딕" w:eastAsia="맑은 고딕"/>
          <w:b w:val="0"/>
          <w:sz w:val="20"/>
        </w:rPr>
        <w:t>하나의 온톨로지 위에서 5대 축이 유기적으로 연결됩니다.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 축</w:t>
            </w:r>
          </w:p>
        </w:tc>
        <w:tc>
          <w:tcPr>
            <w:tcW w:type="dxa" w:w="6973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① 건강검진 예약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국가·개인·기업·특수검진 예약·결과조회 + 무료 검진보험 자동가입</w:t>
            </w:r>
          </w:p>
        </w:tc>
      </w:tr>
      <w:tr>
        <w:tc>
          <w:tcPr>
            <w:tcW w:type="dxa" w:w="238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② 검진 후 케어</w:t>
            </w:r>
          </w:p>
        </w:tc>
        <w:tc>
          <w:tcPr>
            <w:tcW w:type="dxa" w:w="6973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주치의 상담 · 나의 건강현황 · 병원 진료·추가검진 안내 · 재가·돌봄 · 맞춤 건강쇼핑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③ 보험·치료비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건강위험 기반 보장 분석 · 가입·청구 지원 · 치료비 나눔</w:t>
            </w:r>
          </w:p>
        </w:tc>
      </w:tr>
      <w:tr>
        <w:tc>
          <w:tcPr>
            <w:tcW w:type="dxa" w:w="238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④ 나의 건강지갑</w:t>
            </w:r>
          </w:p>
        </w:tc>
        <w:tc>
          <w:tcPr>
            <w:tcW w:type="dxa" w:w="6973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Health Token(건강금융지갑) · 적립·나눔 · 우리가족 건강관리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⑤ 온톨로지·하네스</w:t>
            </w:r>
          </w:p>
        </w:tc>
        <w:tc>
          <w:tcPr>
            <w:tcW w:type="dxa" w:w="69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회원-질병-검진-의료비-보험-지역-재무-마케팅을 잇는 운영 지식그래프(운영자)</w:t>
            </w:r>
          </w:p>
        </w:tc>
      </w:tr>
    </w:tbl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04  </w:t>
      </w:r>
      <w:r>
        <w:rPr>
          <w:rFonts w:ascii="맑은 고딕" w:hAnsi="맑은 고딕" w:eastAsia="맑은 고딕"/>
          <w:b/>
          <w:color w:val="16345E"/>
          <w:sz w:val="28"/>
        </w:rPr>
        <w:t>핵심 특징 &amp; 기술 차별점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① AI 자동운영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24시간 AI 주치의 — 검진 항목별 상담, 질환·증상·생활관리, 회원 검진데이터 RAG 기반 정밀 분석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AI 재무 자동화 — 거래를 실시간 K-IFRS 자동분개(AI 출수납), AI 투자·리밸런싱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② 온톨로지–하네스 체계 (팔란티어형 + Claude 하네스)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객체·관계·액션 온톨로지로 회원 중심 지식그래프를 구성 — 소비→매출→성장, 예방→나눔→ESG 루프를 데이터로 순환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LLM(두뇌) + 도구(손발)를 분리한 하네스 아키텍처로 상담·분석·연계를 자동 오케스트레이션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③ 사회적기업 — 나눔이 회계로 추적된다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제품판매 마진의 적립 50% · 치료비 나눔 30% · 운영 20%를 재무제표·사회적기업 지표로 계량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④ 핀테크 — 건강이 자산이 되는 구조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Health Token 건강금융지갑, 건강행동·소비 적립, (제도화 전제) 지분 참여형 확장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05  </w:t>
      </w:r>
      <w:r>
        <w:rPr>
          <w:rFonts w:ascii="맑은 고딕" w:hAnsi="맑은 고딕" w:eastAsia="맑은 고딕"/>
          <w:b/>
          <w:color w:val="16345E"/>
          <w:sz w:val="28"/>
        </w:rPr>
        <w:t>비즈니스 모델 —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수익원</w:t>
            </w:r>
          </w:p>
        </w:tc>
        <w:tc>
          <w:tcPr>
            <w:tcW w:type="dxa" w:w="4762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55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제품판매(GMV)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건강식단·영양제·홈케어의료기 커머스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최저가 + 구매액 25% 건강적립 환급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검진 연계 수수료</w:t>
            </w:r>
          </w:p>
        </w:tc>
        <w:tc>
          <w:tcPr>
            <w:tcW w:type="dxa" w:w="476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검진센터 예약·결과 연동</w:t>
            </w:r>
          </w:p>
        </w:tc>
        <w:tc>
          <w:tcPr>
            <w:tcW w:type="dxa" w:w="255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건당 과금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헬스케어 서비스 수수료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상담·홈케어·재활·PT 매칭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매칭 수수료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예약 서비스</w:t>
            </w:r>
          </w:p>
        </w:tc>
        <w:tc>
          <w:tcPr>
            <w:tcW w:type="dxa" w:w="476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골프 등 시설 예약</w:t>
            </w:r>
          </w:p>
        </w:tc>
        <w:tc>
          <w:tcPr>
            <w:tcW w:type="dxa" w:w="255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건당 과금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EMR·UIP 사용료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병원·검진센터·약국 월정액(SaaS)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전액 매출·저원가</w:t>
            </w:r>
          </w:p>
        </w:tc>
      </w:tr>
      <w:tr>
        <w:tc>
          <w:tcPr>
            <w:tcW w:type="dxa" w:w="204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보험 중개 수수료</w:t>
            </w:r>
          </w:p>
        </w:tc>
        <w:tc>
          <w:tcPr>
            <w:tcW w:type="dxa" w:w="476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건강위험 기반 보험 중개</w:t>
            </w:r>
          </w:p>
        </w:tc>
        <w:tc>
          <w:tcPr>
            <w:tcW w:type="dxa" w:w="255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중개 수수료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광고·제휴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제휴·마케팅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성장 단계 확대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9"/>
        </w:rPr>
        <w:t>커머스는 ‘최저가 + 수익 환급(적립)’ 구조로, 소비자는 저렴하게 사고 마진의 일부는 무료 검진보험·치료비 나눔 재원이 됩니다.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06  </w:t>
      </w:r>
      <w:r>
        <w:rPr>
          <w:rFonts w:ascii="맑은 고딕" w:hAnsi="맑은 고딕" w:eastAsia="맑은 고딕"/>
          <w:b/>
          <w:color w:val="16345E"/>
          <w:sz w:val="28"/>
        </w:rPr>
        <w:t>마케팅 &amp; Go-to-Market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강력한 회원 확보 후크 (낮은 CAC)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무료 건강검진보험 제공 — 검진 예약 시 추가 보험료 없이 자동가입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무료 프리미엄 건강분석 리포트 — 생체나이·암 위험·예상 의료비 등 개인화 리포트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‘좋은 명분’ 기반 회원 모집 — 예방·나눔이라는 사회적 가치로 유입·바이럴 용이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리텐션·수익화 엔진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AI 자동 평생건강관리 — 검진→케어→재검의 폐루프로 지속 관여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원격진료 서비스 · 병원 진료 안내 — 증상·질환 맞춤 진료과·병원 연계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건강 커머스(식단·영양제·의료기기) — 최저가 + 수익 환급으로 재구매·객단가 상승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채널 전략 — 순수 앱마케팅 의존 탈피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검진·병원 B2B 제휴, 기업복지·단체검진, 보험 조회 유틸 훅, 건강 리워드 바이럴로 회원 과반 확보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07  </w:t>
      </w:r>
      <w:r>
        <w:rPr>
          <w:rFonts w:ascii="맑은 고딕" w:hAnsi="맑은 고딕" w:eastAsia="맑은 고딕"/>
          <w:b/>
          <w:color w:val="16345E"/>
          <w:sz w:val="28"/>
        </w:rPr>
        <w:t>시장 규모 (TAM–SAM–SOM)</w:t>
      </w:r>
    </w:p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9"/>
        </w:rPr>
        <w:t>국내 건강검진·건강기능식품·디지털헬스케어·건강보험 시장을 직접 조사·합산한 관련 시장 기준(추정).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953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 / 근거</w:t>
            </w:r>
          </w:p>
        </w:tc>
        <w:tc>
          <w:tcPr>
            <w:tcW w:type="dxa" w:w="204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규모(추정)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TAM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헬스케어 소비 관련 시장 — 건강검진·건강기능식품·디지털헬스케어·홈케어기기·돌봄 합산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20조원+</w:t>
            </w:r>
          </w:p>
        </w:tc>
      </w:tr>
      <w:tr>
        <w:tc>
          <w:tcPr>
            <w:tcW w:type="dxa" w:w="136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SAM</w:t>
            </w:r>
          </w:p>
        </w:tc>
        <w:tc>
          <w:tcPr>
            <w:tcW w:type="dxa" w:w="5953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플랫폼이 수수료·GMV로 포착 가능한 영역 — 검진 연계·건강 커머스·보험 중개·진료안내 연계</w:t>
            </w:r>
          </w:p>
        </w:tc>
        <w:tc>
          <w:tcPr>
            <w:tcW w:type="dxa" w:w="204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3~5조원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SOM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5년 내 목표 회원(1,000만) 기준 연 매출 — 커머스 GMV + 수수료 + EMR/UIP + 보험·광고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5차연도 1.6조원대(계획)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9"/>
        </w:rPr>
        <w:t>세부 수익 라인: ① 건강검진 연계 수수료 ② 병원 진료 안내 연계 수수료 ③ 건강 영양제·식단·홈케어기기 GMV ④ 돌봄·요양·병원 연계 — 각 라인은 직접 시장조사 기반으로 산정.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08  </w:t>
      </w:r>
      <w:r>
        <w:rPr>
          <w:rFonts w:ascii="맑은 고딕" w:hAnsi="맑은 고딕" w:eastAsia="맑은 고딕"/>
          <w:b/>
          <w:color w:val="16345E"/>
          <w:sz w:val="28"/>
        </w:rPr>
        <w:t>경쟁사 대비 차별점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15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기존 서비스</w:t>
            </w:r>
          </w:p>
        </w:tc>
        <w:tc>
          <w:tcPr>
            <w:tcW w:type="dxa" w:w="4365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HI-Fin Tech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출발점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원격진료·리워드·검진예약 각각 분절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검진데이터 기반 통합(예방→케어→보험→나눔)</w:t>
            </w:r>
          </w:p>
        </w:tc>
      </w:tr>
      <w:tr>
        <w:tc>
          <w:tcPr>
            <w:tcW w:type="dxa" w:w="1474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데이터</w:t>
            </w:r>
          </w:p>
        </w:tc>
        <w:tc>
          <w:tcPr>
            <w:tcW w:type="dxa" w:w="351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단편 활용</w:t>
            </w:r>
          </w:p>
        </w:tc>
        <w:tc>
          <w:tcPr>
            <w:tcW w:type="dxa" w:w="436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마이데이터·온톨로지로 회원 중심 지식그래프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보험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후 사후 보상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무료 임베디드 검진보험 + 예방·건강행동 보상</w:t>
            </w:r>
          </w:p>
        </w:tc>
      </w:tr>
      <w:tr>
        <w:tc>
          <w:tcPr>
            <w:tcW w:type="dxa" w:w="1474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커머스</w:t>
            </w:r>
          </w:p>
        </w:tc>
        <w:tc>
          <w:tcPr>
            <w:tcW w:type="dxa" w:w="351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단순 판매</w:t>
            </w:r>
          </w:p>
        </w:tc>
        <w:tc>
          <w:tcPr>
            <w:tcW w:type="dxa" w:w="436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최저가 + 수익 환급(적립·나눔 회계)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가치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 중심</w:t>
            </w:r>
          </w:p>
        </w:tc>
        <w:tc>
          <w:tcPr>
            <w:tcW w:type="dxa" w:w="436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소비→매출→성장 + 예방→나눔→ESG 순환(임팩트)</w:t>
            </w:r>
          </w:p>
        </w:tc>
      </w:tr>
    </w:tbl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09  </w:t>
      </w:r>
      <w:r>
        <w:rPr>
          <w:rFonts w:ascii="맑은 고딕" w:hAnsi="맑은 고딕" w:eastAsia="맑은 고딕"/>
          <w:b/>
          <w:color w:val="16345E"/>
          <w:sz w:val="28"/>
        </w:rPr>
        <w:t>현재 트랙션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제휴·협력 (확정·논의)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보험: 현대해상 (임베디드·특수보험 제휴 자문)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검진·의료: 한신메디피아 등 검진센터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전문·학회: 정밀영양협회, AI W3 협회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AI·바이오·보안·데이터: 신테카바이오, 안랩 등 AI 헬스케어·보안·데이터 기업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초기 수요 검증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사전가입자 실데이터 300건 확보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MVP 플랫폼 전 기능 구현 완료 (AI 주치의·검진데이터·커머스·보험·제휴/투자 신청·재무 자동화)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공신력</w:t>
      </w:r>
    </w:p>
    <w:p>
      <w:pPr>
        <w:spacing w:after="40" w:line="300" w:lineRule="auto"/>
        <w:ind w:left="283"/>
      </w:pPr>
      <w:r>
        <w:rPr>
          <w:rFonts w:ascii="맑은 고딕" w:hAnsi="맑은 고딕" w:eastAsia="맑은 고딕"/>
          <w:b/>
          <w:color w:val="F97316"/>
          <w:sz w:val="20"/>
        </w:rPr>
        <w:t xml:space="preserve">• </w:t>
      </w:r>
      <w:r>
        <w:rPr>
          <w:rFonts w:ascii="맑은 고딕" w:hAnsi="맑은 고딕" w:eastAsia="맑은 고딕"/>
          <w:sz w:val="20"/>
        </w:rPr>
        <w:t>NICE평가정보 기술신용평가서 취득 — 기술신용등급 B+ / 기술평가등급 T5 / 신용평가등급 b+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10  </w:t>
      </w:r>
      <w:r>
        <w:rPr>
          <w:rFonts w:ascii="맑은 고딕" w:hAnsi="맑은 고딕" w:eastAsia="맑은 고딕"/>
          <w:b/>
          <w:color w:val="16345E"/>
          <w:sz w:val="28"/>
        </w:rPr>
        <w:t>팀 &amp; 자문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0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성명 / 직책</w:t>
            </w:r>
          </w:p>
        </w:tc>
        <w:tc>
          <w:tcPr>
            <w:tcW w:type="dxa" w:w="6406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이력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대표이사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조성래 (CEO)</w:t>
            </w:r>
          </w:p>
        </w:tc>
        <w:tc>
          <w:tcPr>
            <w:tcW w:type="dxa" w:w="640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現 하이젠케어 대표 · 금융·보험 27년 — 현대해상(재무회계팀장·전략채널마케팅·컴플라이언스) · 올데이그룹(골프) 골프장 개발·M&amp;A(떼제베CC 36홀 인수)</w:t>
            </w:r>
          </w:p>
        </w:tc>
      </w:tr>
      <w:tr>
        <w:tc>
          <w:tcPr>
            <w:tcW w:type="dxa" w:w="1247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자문</w:t>
            </w:r>
          </w:p>
        </w:tc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조영국 대표</w:t>
            </w:r>
          </w:p>
        </w:tc>
        <w:tc>
          <w:tcPr>
            <w:tcW w:type="dxa" w:w="6406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신테카바이오 총괄사장 · 전경련 바이오포럼 사무국장 — 바이오·AI 사업 자문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자문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윤석빈 교수</w:t>
            </w:r>
          </w:p>
        </w:tc>
        <w:tc>
          <w:tcPr>
            <w:tcW w:type="dxa" w:w="640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트러스트커넥트 대표 · 서강대 AI·SW대학원 특임교수 · 前 한국오라클·IBM — AI·데이터 아키텍처 자문</w:t>
            </w:r>
          </w:p>
        </w:tc>
      </w:tr>
      <w:tr>
        <w:tc>
          <w:tcPr>
            <w:tcW w:type="dxa" w:w="1247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제휴 자문</w:t>
            </w:r>
          </w:p>
        </w:tc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김준호 부장</w:t>
            </w:r>
          </w:p>
        </w:tc>
        <w:tc>
          <w:tcPr>
            <w:tcW w:type="dxa" w:w="6406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現 현대해상 임베디드 보험부장 — 임베디드·특수보험 상품개발 및 보험 제휴 자문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9"/>
        </w:rPr>
        <w:t>금융·보험 실무(재무·법무·마케팅·컴플라이언스) + 바이오·AI·데이터 전문성 + 보험 제휴 라인을 겸비한 실행형 팀.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11  </w:t>
      </w:r>
      <w:r>
        <w:rPr>
          <w:rFonts w:ascii="맑은 고딕" w:hAnsi="맑은 고딕" w:eastAsia="맑은 고딕"/>
          <w:b/>
          <w:color w:val="16345E"/>
          <w:sz w:val="28"/>
        </w:rPr>
        <w:t>회사 현황 &amp; 재무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법인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36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345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법인명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하이젠케어(주)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사업자번호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217-88-03490</w:t>
            </w:r>
          </w:p>
        </w:tc>
      </w:tr>
      <w:tr>
        <w:tc>
          <w:tcPr>
            <w:tcW w:type="dxa" w:w="1247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대표자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조성래</w:t>
            </w:r>
          </w:p>
        </w:tc>
        <w:tc>
          <w:tcPr>
            <w:tcW w:type="dxa" w:w="136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법인번호</w:t>
            </w:r>
          </w:p>
        </w:tc>
        <w:tc>
          <w:tcPr>
            <w:tcW w:type="dxa" w:w="334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285011-0060225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설립일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2025-05-01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개업일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2025-06-01</w:t>
            </w:r>
          </w:p>
        </w:tc>
      </w:tr>
      <w:tr>
        <w:tc>
          <w:tcPr>
            <w:tcW w:type="dxa" w:w="1247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소재지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 고양시 덕양구 권율대로 656, 3층 318호(원흥동)</w:t>
            </w:r>
          </w:p>
        </w:tc>
        <w:tc>
          <w:tcPr>
            <w:tcW w:type="dxa" w:w="136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기업형태</w:t>
            </w:r>
          </w:p>
        </w:tc>
        <w:tc>
          <w:tcPr>
            <w:tcW w:type="dxa" w:w="334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일반/중소기업</w:t>
            </w:r>
          </w:p>
        </w:tc>
      </w:tr>
    </w:tbl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기술신용평가 (NICE평가정보 · D&amp;B)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기술신용등급</w:t>
            </w:r>
          </w:p>
        </w:tc>
        <w:tc>
          <w:tcPr>
            <w:tcW w:type="dxa" w:w="147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기술평가등급</w:t>
            </w:r>
          </w:p>
        </w:tc>
        <w:tc>
          <w:tcPr>
            <w:tcW w:type="dxa" w:w="147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신용평가등급</w:t>
            </w:r>
          </w:p>
        </w:tc>
        <w:tc>
          <w:tcPr>
            <w:tcW w:type="dxa" w:w="249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평가대상기술</w:t>
            </w:r>
          </w:p>
        </w:tc>
        <w:tc>
          <w:tcPr>
            <w:tcW w:type="dxa" w:w="2438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혁신성장품목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B+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b+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보험 추천 플랫폼 개발·운영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(E19019) 맞춤형 디지털헬스케어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8"/>
        </w:rPr>
        <w:t>발급 2026-05-14 · 유효 2027-05-13 · 창업모형/소프트웨어업종 · 제출처 신한은행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16345E"/>
          <w:sz w:val="22"/>
        </w:rPr>
        <w:t>재무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2025 (1기, 실적)</w:t>
            </w:r>
          </w:p>
        </w:tc>
        <w:tc>
          <w:tcPr>
            <w:tcW w:type="dxa" w:w="4025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매출액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 1.26억원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설립 첫 해</w:t>
            </w:r>
          </w:p>
        </w:tc>
      </w:tr>
      <w:tr>
        <w:tc>
          <w:tcPr>
            <w:tcW w:type="dxa" w:w="1928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영업이익률</w:t>
            </w:r>
          </w:p>
        </w:tc>
        <w:tc>
          <w:tcPr>
            <w:tcW w:type="dxa" w:w="3402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11.2%</w:t>
            </w:r>
          </w:p>
        </w:tc>
        <w:tc>
          <w:tcPr>
            <w:tcW w:type="dxa" w:w="402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동업종 평균 대비 양호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부채비율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635.5%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 성장기 특성 — 본 투자로 자본 확충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8"/>
        </w:rPr>
        <w:t>※ 2026년 이후 수치는 사업계획상 추정치입니다. 초기 투자·마케팅 후 흑자전환 구조.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12  </w:t>
      </w:r>
      <w:r>
        <w:rPr>
          <w:rFonts w:ascii="맑은 고딕" w:hAnsi="맑은 고딕" w:eastAsia="맑은 고딕"/>
          <w:b/>
          <w:color w:val="16345E"/>
          <w:sz w:val="28"/>
        </w:rPr>
        <w:t>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시기(예시)</w:t>
            </w:r>
          </w:p>
        </w:tc>
        <w:tc>
          <w:tcPr>
            <w:tcW w:type="dxa" w:w="5839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과제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1단계 정식 론칭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 하반기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실회원 전환·백엔드·본인인증·결제·보안, 검진·보험 제휴 오픈</w:t>
            </w:r>
          </w:p>
        </w:tc>
      </w:tr>
      <w:tr>
        <w:tc>
          <w:tcPr>
            <w:tcW w:type="dxa" w:w="1814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2단계 회원 확장</w:t>
            </w:r>
          </w:p>
        </w:tc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2027</w:t>
            </w:r>
          </w:p>
        </w:tc>
        <w:tc>
          <w:tcPr>
            <w:tcW w:type="dxa" w:w="5839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10만→100만, 건강쇼핑 브랜딩, EMR-UIP 제휴 확대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3단계 규모화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2028~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100만→1,000만, 데이터·보험·핀테크 수익 본격화, 후속 라운드</w:t>
            </w:r>
          </w:p>
        </w:tc>
      </w:tr>
    </w:tbl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13  </w:t>
      </w:r>
      <w:r>
        <w:rPr>
          <w:rFonts w:ascii="맑은 고딕" w:hAnsi="맑은 고딕" w:eastAsia="맑은 고딕"/>
          <w:b/>
          <w:color w:val="16345E"/>
          <w:sz w:val="28"/>
        </w:rPr>
        <w:t>투자 제안 &amp; 자금 사용 계획 (Use of Funds)</w:t>
      </w:r>
    </w:p>
    <w:p>
      <w:pPr>
        <w:spacing w:after="60" w:line="307" w:lineRule="auto"/>
      </w:pPr>
      <w:r>
        <w:rPr>
          <w:rFonts w:ascii="맑은 고딕" w:hAnsi="맑은 고딕" w:eastAsia="맑은 고딕"/>
          <w:b/>
          <w:sz w:val="20"/>
        </w:rPr>
        <w:t>총 10억원 유치 — 향후 12~18개월 실회원 론칭 및 초기 성장에 투입.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항목</w:t>
            </w:r>
          </w:p>
        </w:tc>
        <w:tc>
          <w:tcPr>
            <w:tcW w:type="dxa" w:w="4535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134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배분</w:t>
            </w:r>
          </w:p>
        </w:tc>
        <w:tc>
          <w:tcPr>
            <w:tcW w:type="dxa" w:w="1871"/>
            <w:shd w:val="clear" w:fill="16345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인건비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개발·AI·데이터·운영·사업 인력(섹션별)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40%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4.0억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초기 마케팅·광고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확보 위한 초기 대규모 광고·프로모션</w:t>
            </w:r>
          </w:p>
        </w:tc>
        <w:tc>
          <w:tcPr>
            <w:tcW w:type="dxa" w:w="1134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25%</w:t>
            </w:r>
          </w:p>
        </w:tc>
        <w:tc>
          <w:tcPr>
            <w:tcW w:type="dxa" w:w="187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2.5억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건강쇼핑 구축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건강쇼핑 브랜딩 및 커머스 시스템 구축비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12%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1.2억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데이터센터·인프라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클라우드·데이터센터·서버 용량</w:t>
            </w:r>
          </w:p>
        </w:tc>
        <w:tc>
          <w:tcPr>
            <w:tcW w:type="dxa" w:w="1134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8%</w:t>
            </w:r>
          </w:p>
        </w:tc>
        <w:tc>
          <w:tcPr>
            <w:tcW w:type="dxa" w:w="187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제휴 라인 연결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EMR-UIP 등 제휴기관 연동 개발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6%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0.6억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보안시스템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보안·인증·개인정보·컴플라이언스 도입</w:t>
            </w:r>
          </w:p>
        </w:tc>
        <w:tc>
          <w:tcPr>
            <w:tcW w:type="dxa" w:w="1134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5%</w:t>
            </w:r>
          </w:p>
        </w:tc>
        <w:tc>
          <w:tcPr>
            <w:tcW w:type="dxa" w:w="187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예비·운영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운전자본·예비비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4%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0.4억</w:t>
            </w:r>
          </w:p>
        </w:tc>
      </w:tr>
      <w:tr>
        <w:tc>
          <w:tcPr>
            <w:tcW w:type="dxa" w:w="1701"/>
            <w:shd w:val="clear" w:fill="F2F6FB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4535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34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1871"/>
            <w:shd w:val="clear" w:fill="F2F6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10.0억</w:t>
            </w:r>
          </w:p>
        </w:tc>
      </w:tr>
    </w:tbl>
    <w:p>
      <w:pPr>
        <w:spacing w:after="60" w:line="307" w:lineRule="auto"/>
      </w:pPr>
      <w:r>
        <w:rPr>
          <w:rFonts w:ascii="맑은 고딕" w:hAnsi="맑은 고딕" w:eastAsia="맑은 고딕"/>
          <w:b w:val="0"/>
          <w:color w:val="5A6B86"/>
          <w:sz w:val="19"/>
        </w:rPr>
        <w:t>투자 방식·밸류에이션·지분율은 협의로 확정하며, 전략적 투자자(SI)에게는 3년 우선 입점 및 플랫폼 최상단 노출 등 부가가치를 제공합니다.</w:t>
      </w:r>
    </w:p>
    <w:p>
      <w:pPr>
        <w:spacing w:before="240" w:after="80"/>
        <w:pBdr>
          <w:bottom w:val="single" w:sz="6" w:color="F97316" w:space="3"/>
        </w:pBdr>
      </w:pPr>
      <w:r>
        <w:rPr>
          <w:rFonts w:ascii="맑은 고딕" w:hAnsi="맑은 고딕" w:eastAsia="맑은 고딕"/>
          <w:b/>
          <w:color w:val="F97316"/>
          <w:sz w:val="28"/>
        </w:rPr>
        <w:t xml:space="preserve">14  </w:t>
      </w:r>
      <w:r>
        <w:rPr>
          <w:rFonts w:ascii="맑은 고딕" w:hAnsi="맑은 고딕" w:eastAsia="맑은 고딕"/>
          <w:b/>
          <w:color w:val="16345E"/>
          <w:sz w:val="28"/>
        </w:rPr>
        <w:t>연락처</w:t>
      </w:r>
    </w:p>
    <w:p>
      <w:pPr>
        <w:spacing w:after="60" w:line="307" w:lineRule="auto"/>
      </w:pPr>
      <w:r>
        <w:rPr>
          <w:rFonts w:ascii="맑은 고딕" w:hAnsi="맑은 고딕" w:eastAsia="맑은 고딕"/>
          <w:b/>
          <w:sz w:val="22"/>
        </w:rPr>
        <w:t>하이젠케어(주) · HiZenCare healthcare &amp; insurance</w:t>
      </w:r>
    </w:p>
    <w:p>
      <w:pPr>
        <w:spacing w:after="60" w:line="307" w:lineRule="auto"/>
      </w:pPr>
      <w:r>
        <w:rPr>
          <w:rFonts w:ascii="맑은 고딕" w:hAnsi="맑은 고딕" w:eastAsia="맑은 고딕"/>
          <w:b w:val="0"/>
          <w:sz w:val="20"/>
        </w:rPr>
        <w:t>대표이사 조성래 · 경기 고양시 덕양구 권율대로 656, 3층 318호(원흥동)</w:t>
      </w:r>
    </w:p>
    <w:p>
      <w:pPr>
        <w:spacing w:after="60" w:line="307" w:lineRule="auto"/>
      </w:pPr>
      <w:r>
        <w:rPr>
          <w:rFonts w:ascii="맑은 고딕" w:hAnsi="맑은 고딕" w:eastAsia="맑은 고딕"/>
          <w:b w:val="0"/>
          <w:sz w:val="20"/>
        </w:rPr>
        <w:t>HI-Fin Tech · AI 헬스케어·핀테크 임팩트 플랫폼</w:t>
      </w:r>
    </w:p>
    <w:p/>
    <w:p>
      <w:r>
        <w:rPr>
          <w:rFonts w:ascii="맑은 고딕" w:hAnsi="맑은 고딕" w:eastAsia="맑은 고딕"/>
          <w:b w:val="0"/>
          <w:color w:val="5A6B86"/>
          <w:sz w:val="17"/>
        </w:rPr>
        <w:t>※ 본 자료는 투자 검토 목적의 대외비 문서이며, 재무·시장 추정치는 사업계획 기준입니다. 무단 배포를 금합니다.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